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3230B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  <w:bookmarkStart w:id="0" w:name="_GoBack"/>
      <w:bookmarkEnd w:id="0"/>
    </w:p>
    <w:tbl>
      <w:tblPr>
        <w:tblpPr w:leftFromText="181" w:rightFromText="181" w:vertAnchor="text" w:tblpX="2" w:tblpY="2"/>
        <w:tblW w:w="540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5"/>
        <w:gridCol w:w="894"/>
        <w:gridCol w:w="4075"/>
        <w:gridCol w:w="1012"/>
        <w:gridCol w:w="3025"/>
      </w:tblGrid>
      <w:tr w:rsidR="00000000">
        <w:trPr>
          <w:trHeight w:val="39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3230B">
            <w:pPr>
              <w:rPr>
                <w:rFonts w:eastAsia="Times New Roman"/>
                <w:sz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3230B">
            <w:pPr>
              <w:rPr>
                <w:rFonts w:eastAsia="Times New Roman" w:cs="Calibri"/>
                <w:sz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ПОЯСНИТЕЛЬНАЯ</w:t>
            </w: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</w:rPr>
              <w:t>ЗАПИСКА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3230B">
            <w:pPr>
              <w:rPr>
                <w:rFonts w:eastAsia="Times New Roman"/>
                <w:sz w:val="20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3230B">
            <w:pPr>
              <w:rPr>
                <w:rFonts w:eastAsia="Times New Roman" w:cs="Calibri"/>
                <w:sz w:val="20"/>
              </w:rPr>
            </w:pPr>
          </w:p>
        </w:tc>
      </w:tr>
      <w:tr w:rsidR="00000000">
        <w:trPr>
          <w:trHeight w:val="39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3230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 w:cs="Calibri"/>
                <w:sz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</w:rPr>
              <w:t> 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Calibri"/>
                <w:color w:val="000000"/>
              </w:rPr>
              <w:t>КОДЫ</w:t>
            </w:r>
          </w:p>
        </w:tc>
      </w:tr>
      <w:tr w:rsidR="00000000">
        <w:trPr>
          <w:trHeight w:val="30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3230B">
            <w:pPr>
              <w:rPr>
                <w:rFonts w:ascii="Times New Roman" w:eastAsia="Times New Roman" w:hAnsi="Times New Roman" w:cs="Calibri"/>
                <w:sz w:val="20"/>
              </w:rPr>
            </w:pPr>
          </w:p>
        </w:tc>
        <w:tc>
          <w:tcPr>
            <w:tcW w:w="416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u w:val="single"/>
              </w:rPr>
            </w:pPr>
            <w:r>
              <w:rPr>
                <w:rFonts w:ascii="Times New Roman" w:eastAsia="Times New Roman" w:hAnsi="Times New Roman" w:cs="Calibri"/>
                <w:sz w:val="18"/>
              </w:rPr>
              <w:t>на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 w:cs="Calibri"/>
                <w:sz w:val="18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lang w:val="en-US" w:eastAsia="en-US"/>
              </w:rPr>
              <w:t xml:space="preserve"> 1 июня 2026</w:t>
            </w:r>
            <w:r>
              <w:rPr>
                <w:rFonts w:ascii="Times New Roman" w:eastAsia="Times New Roman" w:hAnsi="Times New Roman" w:cs="Calibri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</w:rPr>
              <w:t>года</w:t>
            </w: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jc w:val="right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Форма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ОКУД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0503160</w:t>
            </w:r>
          </w:p>
        </w:tc>
      </w:tr>
      <w:tr w:rsidR="00000000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3230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16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 w:cs="Calibri"/>
                <w:sz w:val="20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/>
                <w:color w:val="000000"/>
                <w:sz w:val="28"/>
                <w:u w:val="single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 w:cs="Calibri"/>
                <w:color w:val="000000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000000">
        <w:trPr>
          <w:trHeight w:val="39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3230B">
            <w:pPr>
              <w:rPr>
                <w:rFonts w:ascii="Times New Roman" w:eastAsia="Times New Roman" w:hAnsi="Times New Roman" w:cs="Calibri"/>
                <w:sz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 w:cs="Calibri"/>
                <w:sz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jc w:val="right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Дата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sz w:val="20"/>
              </w:rPr>
              <w:t>01.06.2026</w:t>
            </w:r>
          </w:p>
        </w:tc>
      </w:tr>
      <w:tr w:rsidR="00000000">
        <w:trPr>
          <w:trHeight w:val="360"/>
        </w:trPr>
        <w:tc>
          <w:tcPr>
            <w:tcW w:w="122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Главный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распорядитель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</w:rPr>
              <w:t>распорядитель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</w:rPr>
              <w:t>получатель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бюджетных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средств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</w:rPr>
              <w:t>главный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админ</w:t>
            </w:r>
            <w:r>
              <w:rPr>
                <w:rFonts w:ascii="Times New Roman" w:eastAsia="Times New Roman" w:hAnsi="Times New Roman"/>
                <w:color w:val="000000"/>
              </w:rPr>
              <w:t>истратор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</w:rPr>
              <w:t>администратор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доходов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бюджета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</w:rPr>
              <w:t>главный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администратор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</w:rPr>
              <w:t>администратор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источников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финансирования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дефицита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бюджета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Calibri"/>
                <w:color w:val="000000"/>
              </w:rPr>
              <w:t>по</w:t>
            </w:r>
            <w:r>
              <w:rPr>
                <w:rFonts w:ascii="Times New Roman" w:eastAsia="Times New Roman" w:hAnsi="Times New Roman" w:cs="Calibri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Calibri"/>
                <w:color w:val="000000"/>
              </w:rPr>
              <w:t>ОКПО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 w:cs="Calibri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42424932</w:t>
            </w:r>
          </w:p>
        </w:tc>
      </w:tr>
      <w:tr w:rsidR="00000000">
        <w:trPr>
          <w:trHeight w:val="375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 w:cs="Calibri"/>
                <w:sz w:val="20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 w:cs="Calibri"/>
                <w:color w:val="000000"/>
              </w:rPr>
            </w:pPr>
          </w:p>
        </w:tc>
      </w:tr>
      <w:tr w:rsidR="00000000">
        <w:trPr>
          <w:trHeight w:val="375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 w:cs="Calibri"/>
                <w:sz w:val="20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 w:cs="Calibri"/>
                <w:color w:val="000000"/>
              </w:rPr>
            </w:pPr>
          </w:p>
        </w:tc>
      </w:tr>
      <w:tr w:rsidR="00000000">
        <w:trPr>
          <w:trHeight w:val="390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 w:cs="Calibri"/>
                <w:sz w:val="20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 w:cs="Calibri"/>
                <w:color w:val="000000"/>
              </w:rPr>
            </w:pPr>
          </w:p>
        </w:tc>
      </w:tr>
      <w:tr w:rsidR="00000000">
        <w:trPr>
          <w:trHeight w:val="1785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 w:cs="Calibri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Calibri"/>
                <w:color w:val="000000"/>
                <w:lang w:val="en-US" w:eastAsia="en-US"/>
              </w:rPr>
              <w:t>ПРЕФЕКТУРА СЕВЕРО-ВОСТОЧНОГО АДМИНИСТРАТИВНОГО ОКРУГА ГОРОДА МОСКВЫ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jc w:val="right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Глава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БК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lang w:val="en-US" w:eastAsia="en-US"/>
              </w:rPr>
              <w:t xml:space="preserve">941 </w:t>
            </w:r>
          </w:p>
        </w:tc>
      </w:tr>
      <w:tr w:rsidR="00000000">
        <w:trPr>
          <w:trHeight w:val="983"/>
        </w:trPr>
        <w:tc>
          <w:tcPr>
            <w:tcW w:w="122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Наименование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бюджета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</w:rPr>
              <w:t>публично</w:t>
            </w:r>
            <w:r>
              <w:rPr>
                <w:rFonts w:ascii="Times New Roman" w:eastAsia="Times New Roman" w:hAnsi="Times New Roman"/>
                <w:color w:val="000000"/>
              </w:rP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>правового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образования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) 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>Бюджет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>города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>Москвы</w:t>
            </w: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jc w:val="right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ОКТМО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Style w:val="style461"/>
                <w:rFonts w:eastAsia="Times New Roman"/>
                <w:sz w:val="22"/>
                <w:lang w:val="en-US" w:eastAsia="en-US"/>
              </w:rPr>
              <w:t>45000000</w:t>
            </w:r>
            <w:r>
              <w:rPr>
                <w:rFonts w:ascii="Times New Roman" w:eastAsia="Times New Roman" w:hAnsi="Times New Roman" w:cs="Calibri"/>
                <w:lang w:val="en-US" w:eastAsia="en-US"/>
              </w:rPr>
              <w:t xml:space="preserve"> </w:t>
            </w:r>
          </w:p>
        </w:tc>
      </w:tr>
      <w:tr w:rsidR="00000000">
        <w:trPr>
          <w:trHeight w:val="24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3230B">
            <w:pPr>
              <w:rPr>
                <w:rFonts w:ascii="Times New Roman" w:eastAsia="Times New Roman" w:hAnsi="Times New Roman" w:cs="Calibri"/>
                <w:sz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 w:cs="Calibri"/>
                <w:sz w:val="20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 w:cs="Calibri"/>
                <w:color w:val="000000"/>
              </w:rPr>
            </w:pPr>
          </w:p>
        </w:tc>
      </w:tr>
      <w:tr w:rsidR="00000000">
        <w:trPr>
          <w:trHeight w:val="33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Периодичность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en-US"/>
              </w:rPr>
              <w:t>месячная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jc w:val="right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000000">
        <w:trPr>
          <w:trHeight w:val="450"/>
        </w:trPr>
        <w:tc>
          <w:tcPr>
            <w:tcW w:w="312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Единица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измерения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</w:rPr>
              <w:t>руб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jc w:val="right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ОКЕИ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383</w:t>
            </w:r>
          </w:p>
        </w:tc>
      </w:tr>
      <w:tr w:rsidR="00000000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3230B">
            <w:pPr>
              <w:rPr>
                <w:rFonts w:ascii="Times New Roman" w:eastAsia="Times New Roman" w:hAnsi="Times New Roman" w:cs="Calibri"/>
                <w:sz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3230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 w:cs="Calibri"/>
                <w:sz w:val="20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3230B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000000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3230B">
            <w:pPr>
              <w:rPr>
                <w:rFonts w:eastAsia="Times New Roman" w:cs="Calibri"/>
                <w:sz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3230B">
            <w:pPr>
              <w:rPr>
                <w:rFonts w:eastAsia="Times New Roman"/>
                <w:sz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3230B">
            <w:pPr>
              <w:rPr>
                <w:rFonts w:eastAsia="Times New Roman" w:cs="Calibri"/>
                <w:sz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3230B">
            <w:pPr>
              <w:rPr>
                <w:rFonts w:eastAsia="Times New Roman"/>
                <w:sz w:val="20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3230B">
            <w:pPr>
              <w:rPr>
                <w:rFonts w:eastAsia="Times New Roman" w:cs="Calibri"/>
                <w:sz w:val="20"/>
              </w:rPr>
            </w:pPr>
          </w:p>
        </w:tc>
      </w:tr>
      <w:tr w:rsidR="00000000">
        <w:trPr>
          <w:gridAfter w:val="3"/>
          <w:wAfter w:w="3777" w:type="pct"/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3230B">
            <w:pPr>
              <w:rPr>
                <w:rFonts w:eastAsia="Times New Roman"/>
                <w:sz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3230B">
            <w:pPr>
              <w:rPr>
                <w:rFonts w:eastAsia="Times New Roman" w:cs="Calibri"/>
                <w:sz w:val="20"/>
              </w:rPr>
            </w:pPr>
          </w:p>
        </w:tc>
      </w:tr>
      <w:tr w:rsidR="00000000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3230B">
            <w:pPr>
              <w:rPr>
                <w:rFonts w:eastAsia="Times New Roman"/>
                <w:sz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3230B">
            <w:pPr>
              <w:rPr>
                <w:rFonts w:eastAsia="Times New Roman" w:cs="Calibri"/>
                <w:sz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3230B">
            <w:pPr>
              <w:rPr>
                <w:rFonts w:eastAsia="Times New Roman"/>
                <w:sz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3230B">
            <w:pPr>
              <w:rPr>
                <w:rFonts w:eastAsia="Times New Roman" w:cs="Calibri"/>
                <w:sz w:val="20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3230B">
            <w:pPr>
              <w:rPr>
                <w:rFonts w:eastAsia="Times New Roman"/>
                <w:sz w:val="20"/>
              </w:rPr>
            </w:pPr>
          </w:p>
        </w:tc>
      </w:tr>
      <w:tr w:rsidR="00000000">
        <w:trPr>
          <w:gridAfter w:val="3"/>
          <w:wAfter w:w="3777" w:type="pct"/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3230B">
            <w:pPr>
              <w:rPr>
                <w:rFonts w:eastAsia="Times New Roman" w:cs="Calibri"/>
                <w:sz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E3230B">
            <w:pPr>
              <w:rPr>
                <w:rFonts w:eastAsia="Times New Roman"/>
                <w:sz w:val="20"/>
              </w:rPr>
            </w:pPr>
          </w:p>
        </w:tc>
      </w:tr>
    </w:tbl>
    <w:p w:rsidR="00000000" w:rsidRDefault="00E3230B">
      <w:pPr>
        <w:jc w:val="both"/>
        <w:rPr>
          <w:rFonts w:ascii="Times New Roman CYR" w:eastAsia="Times New Roman" w:hAnsi="Times New Roman CYR" w:cs="Times New Roman CYR"/>
          <w:color w:val="004DBB"/>
          <w:lang w:val="en-US" w:eastAsia="en-US"/>
        </w:rPr>
      </w:pPr>
    </w:p>
    <w:p w:rsidR="00000000" w:rsidRDefault="00E3230B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</w:p>
    <w:p w:rsidR="00000000" w:rsidRDefault="00E3230B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</w:p>
    <w:p w:rsidR="00000000" w:rsidRDefault="00E3230B">
      <w:pPr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Раздел</w:t>
      </w:r>
      <w:r>
        <w:rPr>
          <w:rFonts w:ascii="Times New Roman" w:eastAsia="Times New Roman" w:hAnsi="Times New Roman"/>
          <w:b/>
          <w:color w:val="000000"/>
          <w:sz w:val="28"/>
        </w:rPr>
        <w:t xml:space="preserve"> 1 </w:t>
      </w:r>
      <w:r>
        <w:rPr>
          <w:rFonts w:ascii="Times New Roman" w:eastAsia="Times New Roman" w:hAnsi="Times New Roman"/>
          <w:b/>
          <w:color w:val="000000"/>
          <w:sz w:val="28"/>
        </w:rPr>
        <w:t>«</w:t>
      </w:r>
      <w:r>
        <w:rPr>
          <w:rFonts w:ascii="Times New Roman" w:eastAsia="Times New Roman" w:hAnsi="Times New Roman"/>
          <w:b/>
          <w:color w:val="000000"/>
          <w:sz w:val="28"/>
        </w:rPr>
        <w:t>Организационная структура субъекта бюджетной отчетности»</w:t>
      </w:r>
      <w:r>
        <w:rPr>
          <w:rFonts w:ascii="Times New Roman" w:eastAsia="Times New Roman" w:hAnsi="Times New Roman" w:cs="Calibri"/>
          <w:sz w:val="28"/>
        </w:rPr>
        <w:t xml:space="preserve"> </w:t>
      </w:r>
    </w:p>
    <w:tbl>
      <w:tblPr>
        <w:tblStyle w:val="1"/>
        <w:tblW w:w="107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7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Сведения об изменениях наименования субъекта консолидированной отчетности за отчетный период, если такие изменения производились</w:t>
            </w:r>
          </w:p>
          <w:p w:rsidR="00000000" w:rsidRDefault="00E3230B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Наименование учредителя субъекта отчетности (для подведомственных получателей бюджетных средств)</w:t>
            </w:r>
          </w:p>
          <w:p w:rsidR="00000000" w:rsidRDefault="00E3230B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Наименование органа, осуществляющего внешний государственный (муниципальный) финансовый контроль</w:t>
            </w:r>
          </w:p>
          <w:p w:rsidR="00000000" w:rsidRDefault="00E3230B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Сведения об основных направлениях деятельности</w:t>
            </w:r>
          </w:p>
          <w:p w:rsidR="00000000" w:rsidRDefault="00E3230B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Иная информация о деятельности субъекта отчетности, существенная для понимания пользователями отчетности финансового положения, финансовых результатах деятельности и движении денежных средств</w:t>
            </w:r>
          </w:p>
          <w:p w:rsidR="00000000" w:rsidRDefault="00E3230B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Информация о наличии подведомственных государственных (муниципальных) учреждений, подтверждённая данными из ЕГРЮЛ. Количество учреждений всего:</w:t>
            </w:r>
          </w:p>
          <w:p w:rsidR="00000000" w:rsidRDefault="00E3230B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количество государственных казенных учреждений:</w:t>
            </w:r>
          </w:p>
          <w:p w:rsidR="00000000" w:rsidRDefault="00E3230B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количество государственных бюджетных учреждений:</w:t>
            </w:r>
          </w:p>
          <w:p w:rsidR="00000000" w:rsidRDefault="00E3230B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количество государственных автономных учреждений:</w:t>
            </w:r>
          </w:p>
          <w:p w:rsidR="00000000" w:rsidRDefault="00E3230B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Информация о произошедших за отчетный период изменениях количества подведомственных государственных (муниципальных) учреждений (реорганизации (слияние, присоединение, разделение, выделение, преобразование), ликвидации, изменении типа государственных учрежд</w:t>
            </w:r>
            <w:r>
              <w:rPr>
                <w:rFonts w:ascii="Times New Roman" w:eastAsia="Times New Roman" w:hAnsi="Times New Roman"/>
                <w:b/>
                <w:sz w:val="24"/>
              </w:rPr>
              <w:t>ений, передаче учреждений между бюджетами) с указанием причин изменений количества по сравнению с началом отчетного периода</w:t>
            </w:r>
          </w:p>
          <w:p w:rsidR="00000000" w:rsidRDefault="00E3230B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Информация о наличии государственных (муниципальных) унитарных и казенных предприятий и изменениях их количества, функций, произошедших за отчетный период, подтвержденная данными из ЕГРЮЛ</w:t>
            </w:r>
          </w:p>
          <w:p w:rsidR="00000000" w:rsidRDefault="00E3230B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Информация о наличии филиалов (обособленных подразделений) учреждения по состоянию на отчетную дату с указанием причин, произошедших в течение отчетного периода изменений количества филиалов (обособленных подразделений)</w:t>
            </w:r>
          </w:p>
          <w:p w:rsidR="00000000" w:rsidRDefault="00E3230B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Информация об исполнителе (ФИО, должность) централизованной бухгалтерии, составившем бухгалтерскую отчетность</w:t>
            </w:r>
          </w:p>
          <w:p w:rsidR="00000000" w:rsidRDefault="00E3230B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Информация о месте нахождения субъекта отчетности</w:t>
            </w:r>
          </w:p>
          <w:p w:rsidR="00000000" w:rsidRDefault="00E3230B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Перечень основных нормативных правовых актов, регламентирующих деятельность субъекта отчетности</w:t>
            </w:r>
          </w:p>
          <w:p w:rsidR="00000000" w:rsidRDefault="00E3230B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Иная информ</w:t>
            </w:r>
            <w:r>
              <w:rPr>
                <w:rFonts w:ascii="Times New Roman" w:eastAsia="Times New Roman" w:hAnsi="Times New Roman"/>
                <w:b/>
                <w:sz w:val="24"/>
              </w:rPr>
              <w:t>ация, оказавшая существенное влияние и характеризующая организационную структуру субъекта бюджетной отчетности за отчетный период, не нашедшая отражения в таблицах и приложениях, включаемых в раздел</w:t>
            </w:r>
          </w:p>
          <w:p w:rsidR="00000000" w:rsidRDefault="00E3230B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4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информация согласно Инструкции №191н отсутствует.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</w:tbl>
    <w:p w:rsidR="00000000" w:rsidRDefault="00E3230B">
      <w:pPr>
        <w:jc w:val="both"/>
        <w:rPr>
          <w:rFonts w:ascii="Times New Roman CYR" w:eastAsia="Times New Roman" w:hAnsi="Times New Roman CYR" w:cs="Times New Roman CYR"/>
          <w:color w:val="004DBB"/>
          <w:lang w:val="en-US" w:eastAsia="en-US"/>
        </w:rPr>
      </w:pPr>
    </w:p>
    <w:p w:rsidR="00000000" w:rsidRDefault="00E3230B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</w:p>
    <w:p w:rsidR="00000000" w:rsidRDefault="00E3230B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</w:p>
    <w:p w:rsidR="00000000" w:rsidRDefault="00E3230B">
      <w:pPr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Раздел</w:t>
      </w:r>
      <w:r>
        <w:rPr>
          <w:rFonts w:ascii="Times New Roman" w:eastAsia="Times New Roman" w:hAnsi="Times New Roman"/>
          <w:b/>
          <w:color w:val="000000"/>
          <w:sz w:val="28"/>
        </w:rPr>
        <w:t xml:space="preserve"> 2 </w:t>
      </w:r>
      <w:r>
        <w:rPr>
          <w:rFonts w:ascii="Times New Roman" w:eastAsia="Times New Roman" w:hAnsi="Times New Roman"/>
          <w:b/>
          <w:color w:val="000000"/>
          <w:sz w:val="28"/>
        </w:rPr>
        <w:t>«</w:t>
      </w:r>
      <w:r>
        <w:rPr>
          <w:rFonts w:ascii="Times New Roman" w:eastAsia="Times New Roman" w:hAnsi="Times New Roman"/>
          <w:b/>
          <w:color w:val="000000"/>
          <w:sz w:val="28"/>
        </w:rPr>
        <w:t>Результаты деятельности субъекта бюджетной отчетности»</w:t>
      </w:r>
      <w:r>
        <w:rPr>
          <w:rFonts w:ascii="Times New Roman" w:eastAsia="Times New Roman" w:hAnsi="Times New Roman" w:cs="Calibri"/>
          <w:sz w:val="28"/>
        </w:rPr>
        <w:t xml:space="preserve"> </w:t>
      </w:r>
    </w:p>
    <w:tbl>
      <w:tblPr>
        <w:tblStyle w:val="1"/>
        <w:tblW w:w="540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74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jc w:val="both"/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Информация о результатах деятельности получателей бюджетных средств (казенных учреждений)  при исполнении ими государственного (муниципального) задания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Наименование и место публикации отчета, в котором содержится  информация о результатах исполнения субъектами отчетности (казенные учреждения) государственного (муниципального) задания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Информация, оказавшая существенное влияние и характеризующая результаты деятельности субъекта бюджетной отчетности за отчетный период, не нашедшая отражения в таблицах и приложениях, включаемых в раздел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</w:tbl>
    <w:p w:rsidR="00000000" w:rsidRDefault="00E3230B">
      <w:pPr>
        <w:jc w:val="both"/>
        <w:rPr>
          <w:rFonts w:ascii="Times New Roman CYR" w:eastAsia="Times New Roman" w:hAnsi="Times New Roman CYR" w:cs="Times New Roman CYR"/>
          <w:color w:val="004DBB"/>
          <w:lang w:val="en-US" w:eastAsia="en-US"/>
        </w:rPr>
      </w:pPr>
    </w:p>
    <w:p w:rsidR="00000000" w:rsidRDefault="00E3230B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</w:p>
    <w:p w:rsidR="00000000" w:rsidRDefault="00E3230B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</w:p>
    <w:p w:rsidR="00000000" w:rsidRDefault="00E3230B">
      <w:pPr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Раздел</w:t>
      </w:r>
      <w:r>
        <w:rPr>
          <w:rFonts w:ascii="Times New Roman" w:eastAsia="Times New Roman" w:hAnsi="Times New Roman"/>
          <w:b/>
          <w:color w:val="000000"/>
          <w:sz w:val="28"/>
        </w:rPr>
        <w:t xml:space="preserve"> 3 </w:t>
      </w:r>
      <w:r>
        <w:rPr>
          <w:rFonts w:ascii="Times New Roman" w:eastAsia="Times New Roman" w:hAnsi="Times New Roman"/>
          <w:b/>
          <w:color w:val="000000"/>
          <w:sz w:val="28"/>
        </w:rPr>
        <w:t>«</w:t>
      </w:r>
      <w:r>
        <w:rPr>
          <w:rFonts w:ascii="Times New Roman" w:eastAsia="Times New Roman" w:hAnsi="Times New Roman"/>
          <w:b/>
          <w:color w:val="000000"/>
          <w:sz w:val="28"/>
        </w:rPr>
        <w:t>Анализ отчета об исполнении бюджета субъектом бюджетной отчетности»</w:t>
      </w:r>
      <w:r>
        <w:rPr>
          <w:rFonts w:ascii="Times New Roman" w:eastAsia="Times New Roman" w:hAnsi="Times New Roman" w:cs="Calibri"/>
          <w:sz w:val="28"/>
        </w:rPr>
        <w:t xml:space="preserve"> </w:t>
      </w:r>
    </w:p>
    <w:tbl>
      <w:tblPr>
        <w:tblStyle w:val="1"/>
        <w:tblW w:w="540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74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jc w:val="both"/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Сведения, раскрывающие информацию о ходе реализации государственными (муниципальными) бюджетными и автономными учреждениями национальных проектов (региональных проектов, обеспечивающих достижение показателей и реализацию мероприятий (результатов) федеральн</w:t>
            </w: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ых проектов, входящих в состав национальных проектов) за счет средств субсидии на иные цели и субсидии на цели осуществления капитальных вложений, с указанием причин образования остатков средств целевых субсидий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Приняты обязательства по реализации в городе Москве проекта «Московское долголетие»  в сумме 5 000 000,00руб. по КБК 148-1006-04БЯ4Я0203-623-0Я4, аналитический код целевых средств гранта 148И2604Б0360004 (ГАУ Парк "Яуза").</w:t>
            </w: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Приняты обязательства по реализа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ции в городе Москве проекта «Московское долголетие» в сумме 29 508 344,00руб. по КБК 148-1006-04БЯ4Я0203-613-0Я4, аналитический код целевых средств гранта 148И2604Б0360003 (ГБУ г. Москвы "ОКЦ СВАО").</w:t>
            </w: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 В рамках реализации национального (регионального) прое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кта «Реализация проекта «Московское долголетие» в целях реализации регионального проекта «Разработка и реализация программы системной поддержки и повышения качества жизни граждан старшего поколения»; «Социальная поддержка жителей города Москвы Государствен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ное автономное учреждения города Москвы "Парк Яуза" и ГБУ г. Москвы "ОКЦ СВАО"(далее – учреждения) получили гранты в форме субсидий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lastRenderedPageBreak/>
              <w:t>осуществления мероприятий по реализации национальных (региональных) проектов.</w:t>
            </w: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Общий объем финансирования на реализацию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мероприятий в рамках национального (регионального) проекта, код 0Я4 «Семья» («Старшее поколение») , утвержден планом финансово-хозяйственной деятельности на 2026 в объеме   34 508 344,00 руб. . </w:t>
            </w: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Принято обязательств учреждением всего 31 655 840,00 руб., чт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о составляет 91,73% от плановых назначений, в том числе:</w:t>
            </w: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- за счет остатков средств, образовавшихся по состоянию на 2026 в объеме 0,00 тыс. рублей;</w:t>
            </w: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- за счет бюджетных ассигнований на 2026 в объеме 31 655 840,00  руб.</w:t>
            </w: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Исполнено обязательств учреждением все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го 10 556 080,16 руб., что составляет 33,35%  от принятых обязательств.</w:t>
            </w: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Риски неосвоения средств, выделенных в рамках национальных (региональных) проектов, а также неисполнения натуральных показателей отсутствуют.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Информация, раскрывающая данные о неисполненных принятых бюджетных обязательствах и денежных обязательствах в ходе реализации национальных проектов (региональных проектов, обеспечивающих достижение показателей и реализацию мероприятий (результатов) федерал</w:t>
            </w: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ьных проектов, входящих в состав национальных проектов) (на основании ф. 0503128-НП)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В связи с тем, что форма 0503128-НП содержит нулевые показатели, информация, раскрывающая данные о неисполненных принятых бюджетных обязательствах и денежных обязательствах в ходе реализации национальных проектов (программ), комплексного плана модернизации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 и расширения магистральной инфраструктуры (региональных проектов в составе национальных проектов) отсутствует.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Информация о сумме курсовой разницы, отраженной в ф. 0503127 в разрезе следующих показателей: положительная курсовая разница;  отрицательная курсовая разница; начисленная по доходам или расходам; наименование контрагентов и мероприятий, по которым осуществ</w:t>
            </w: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ляются расчеты в иностранной валюте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Расчеты осуществляются в рублях, курсовая разница в форме 0503127 отсутствует.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Комплексный анализ исполнения бюджета по доходам с отражением  причин отклонений показателей исполнения бюджета от плановых показателей  (на основании ф. 0503164)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Комплексный анализ исполнения бюджета по расходам в разрезе государственных программ, подпрограмм государственных программ города Москвы (непрограммных направлений деятельности) (1 - 3 знак целевой статьи расходов), в том числе в рамках реализации национал</w:t>
            </w: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 xml:space="preserve">ьных (региональных) проектов (1 - 5 знак целевой статьи расходов) (на основании ф. 0503164). В структуре: код целевой статьи расходов бюджета (1 - 3 знак целевой статьи </w:t>
            </w: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lastRenderedPageBreak/>
              <w:t xml:space="preserve">расходов, в  рамках реализации национальных (региональных) проектов 1 - 5 знак целевой </w:t>
            </w: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статьи расходов), плановые показатели; кассовое исполнение; причины неисполнения (при наличии)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Комплексный анализ исполнения бюджета по расходам в разрезе государственных программ, подпрограмм государственных программ города Москвы (непрограммного направления деятельности) (1 - 3 знак целевой статьи расходов), в том числе в рамках реализации национа</w:t>
            </w: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льных (региональных) проектов (1 - 5 знак целевой статьи расходов), а также раскрытие информации о выполнении государственного задания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Комплексный анализ исполнения бюджета по источникам финансирования дефицита бюджета с отраже</w:t>
            </w: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нием  причин отклонений показателей исполнения бюджета от плановых показателей (на основании ф. 0503164)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Информация, раскрывающая причины неисполнения плановых  показателей по расходам бюджета, отраженных в  ф.0503164 с кодом причины неисполнения  «99» (иные причины)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Информация об исполнении местного бюджета по доходам, расходам и источникам финансирования дефицита бюджета (в увязке плановых бюджетных назначений с кассовым исполнением), с указанием причин неисполнения бюджетных назначений по доходам, расходам и источни</w:t>
            </w: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кам финансирования дефицита бюджета.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Иная информация, оказавшая существенное влияние и характеризующая результаты исполнения  бюджета субъектом бюджетной отчетности, не отраженная в таблицах и приложениях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Иная информация, оказавшая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 существенное влияние и характеризующая результаты исполнения  бюджета субъектом бюджетной отчетности, не отраженная в таблицах и приложениях отсутствует.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</w:tbl>
    <w:p w:rsidR="00000000" w:rsidRDefault="00E3230B">
      <w:pPr>
        <w:jc w:val="both"/>
        <w:rPr>
          <w:rFonts w:ascii="Times New Roman CYR" w:eastAsia="Times New Roman" w:hAnsi="Times New Roman CYR" w:cs="Times New Roman CYR"/>
          <w:color w:val="004DBB"/>
          <w:lang w:val="en-US" w:eastAsia="en-US"/>
        </w:rPr>
      </w:pPr>
    </w:p>
    <w:p w:rsidR="00000000" w:rsidRDefault="00E3230B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</w:p>
    <w:p w:rsidR="00000000" w:rsidRDefault="00E3230B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</w:p>
    <w:p w:rsidR="00000000" w:rsidRDefault="00E3230B">
      <w:pPr>
        <w:jc w:val="center"/>
        <w:rPr>
          <w:rFonts w:ascii="Times New Roman" w:eastAsia="Times New Roman" w:hAnsi="Times New Roman" w:cs="Calibri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Раздел</w:t>
      </w:r>
      <w:r>
        <w:rPr>
          <w:rFonts w:ascii="Times New Roman" w:eastAsia="Times New Roman" w:hAnsi="Times New Roman"/>
          <w:b/>
          <w:color w:val="000000"/>
          <w:sz w:val="28"/>
        </w:rPr>
        <w:t xml:space="preserve"> 4 </w:t>
      </w:r>
      <w:r>
        <w:rPr>
          <w:rFonts w:ascii="Times New Roman" w:eastAsia="Times New Roman" w:hAnsi="Times New Roman"/>
          <w:b/>
          <w:color w:val="000000"/>
          <w:sz w:val="28"/>
        </w:rPr>
        <w:t>«</w:t>
      </w:r>
      <w:r>
        <w:rPr>
          <w:rFonts w:ascii="Times New Roman" w:eastAsia="Times New Roman" w:hAnsi="Times New Roman"/>
          <w:b/>
          <w:color w:val="000000"/>
          <w:sz w:val="28"/>
        </w:rPr>
        <w:t>Анализ показателей бухгалтерской отчетности субъекта бюджетной отчетности»</w:t>
      </w:r>
    </w:p>
    <w:tbl>
      <w:tblPr>
        <w:tblStyle w:val="1"/>
        <w:tblW w:w="540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74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запасах субъекта бюджетной отчетности: об общей балансовой стоимости в разрезе групп запасов, с разделением на учитываемые по первоначальной стоимости, по нормативно-плановой стоимости для целей распоряжения (реализации), и по справедливой сто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имости; о сумме запасов, признанных в качестве расходов в отчетном периоде; о балансовой стоимости запасов, заложенных в качестве обеспечения исполнения обязательств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суммах начисления и уменьшения резерва под снижение стоимости материальных запасов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об объектах нефинансовых активов, ранее неучтенных в бухгалтерском учете и оприходованных в результате инвентаризации (восстановленных в учете) (на основании ф. 0503168)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об объектах нефинансовых активов, выбывших в результате недостач, хищений, с выделением активов в части особо ценного движимого имущества, дорогостоящих материальных запасов, и мерах, принимаемых для обеспечения сохранности имущества (на основан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ии ф. 0503168)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ка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ждой группе основных средств, раскрывающая сумму стоимости поступивших объектов основных средств с отдельным раскрытием сумм поступлений в результате: приобретения (создания) объектов основных средств, получения объектов от собственника (учредителя), иной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организации государственного сектора; увеличений балансовой стоимости объектов основных средств; реклассификаций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Информация по каждой группе основных средств, раскрывающая сумму стоимости выбывших объектов основных средств с отдельным раскрытием сумм выбытий в результате: передачи объектов имущества, учитываемых в составе основных средств, собственнику (учредителю),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иной организации государственного сектора; реклассификаций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каждой группе основных средств, раскрывающая: суммы увеличения или уменьшения остаточной стоимости объектов основных средств в результате признания в отношении их убытков от обесценения активов (снижения убытков от обесценения активов), суммы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накопленного убытка от обесценения объектов основных средств на отчетную дату; суммы начисленной амортизации по объектам основных средств, суммы накопленной амортизации на отчетную дату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каждой группе основных средств, раскрывающая чистые курсовые разницы, возникающие при пересчете бухгалтерской (финансовой) отчетности из функциональной валюты в отличную от нее валюту представления или пересчете бухгалтерской (финансовой) отч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етности в иностранной валюте по зарубежной деятельности в функциональную валюту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каждой группе основных средств, раскрывающая первоначальную стоимость, балансовую стоимость и переоцененную стоимость объектов основных средств, отчуждаемых не в пользу организаций бюджетной сферы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каждой группе основных средств, раскрывающая прочие изменения стоимости объектов основных средств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Информация, раскрываемая по каждой группе основных средств: о наличии и размере ограничений прав собственности или иных предоставленных прав; о стоимости объектов недвижимого и особо ценного движимого имущества, которые субъект учета не вправе использовать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в качестве обеспечения исполнения своих обязательств; о перечне основных средств, переданных в качестве обеспечения исполнения обязательств субъекта учета, с отражением остаточной стоимости на начало и конец отчетного периода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Информация, раскрываемая по каждой группе основных средств: о суммах затрат,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lastRenderedPageBreak/>
              <w:t>включенных в стоимость объектов основных средств в ходе его строительства, на начало и конец отчетного периода; о суммах договорных обязательств по приобретению (строительству) ос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новных средств на конец отчетного периода; о суммах компенсаций, причитающихся к получению от третьих сторон в связи с обесценением, утратой или передачей основных средств, включенных в доходы текущего периода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в отношении группы основных средств «Инвестиционная недвижимость»: описание объектов инвестиционной недвижимости и критерии признания объектов основных средств, применяемые при отнесении активов к группе основных средств «Инвестиционная недвижим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ость»; наличие ограничений в отношении возможности продажи объектов инвестиционной недвижимости или поступлений экономических выгод (доходов) от выбытия, а также суммы указанных ограничений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в отношении группы основных средств «Инвестиционная недвижимость» о суммах, признанных в качестве дохода от платы за пользование имуществом (арендной платы) и (или) увеличения стоимости недвижимого имущества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в отношении группы основных средств «Инвестиционная недвижимость» о суммах, признанных в качестве расходов (в том числе расходов на капитальный ремонт и (или) на содержание имущества): по объектам инвестиционной недвижимости, по которым доходы о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т платы за пользование таким имуществом (арендной платы) и (или) от увеличения стоимости такого имущества отражены в финансовом результате отчетного периода; по объектам инвестиционной недвижимости, связанным с владением и (или) пользованием инвестиционной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недвижимостью, по которой в отчетном периоде не получены доходы от платы за пользование таким имуществом (арендной платы) и (или) от увеличения стоимости такого имущества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Информация в отношении объектов недвижимости, полученных по договорам аренды (имущественного найма) либо договорам безвозмездного пользования: об объектах инвестиционной недвижимости, полученных по договорам аренды (имущественного найма) либо по договорам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безвозмездного пользования; об объектах инвестиционной недвижимости, переданных по договорам аренды (субаренды) (имущественного найма (поднайма) либо по договорам безвозмездного пользования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Информация, раскрываемая по каждой группе активов: о сумме убытков от обесценения актива, признанной в течение периода в составе расходов, и статьях отчетности, в которые включены эти убытки от обесценения актива; о сумме восстановленного убытка от обесцен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ения, признанной в течение периода в составе доходов, и статьи отчетности, по которым эти убытки от обесценения были восстановлены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суммам убытка от обесценения актива (с отдельным отражением обесценения единицы, генерирующей денежные потоки (ГПД)), признанного или восстановленного в течение периода: события и обстоятельства, которые привели к признанию или восстановлению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убытка от обесценения актива; сумму признанного или восстановленного убытка от обесценения актива; группа, к которой относится актив, если предоставление такой информации предусмотрено нормативными правовыми актами, регулирующими ведение бухгалтерского уч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ета и составление бухгалтерской (финансовой) отчетности; методы, использованные для определения справедливой стоимости при проведении теста на обесценение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совокупным убыткам от обес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ценения актива и совокупному восстановлению убытка от обесценения актива, признанным в течение отчетного периода в отношении: основных групп активов, на которые влияют убытки от обесценения актива, и основных групп активов, на которые влияют восстановления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убытков от обесценения актива; основных событий и обстоятельств, которые привели к признанию этих убытков от обесценения актива и их восстановлению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Анализ остатков дебиторской (кредиторской) задолженности, в том числе просроченной на конец отчетного периода (на основании ф. 0503169).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выявленных недостачах денежны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х средств и денежных документов, а также принимаемые меры для обеспечения их сохранности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Анализ увеличения (уменьшения) показателей финансовых вложений на конец отчетного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lastRenderedPageBreak/>
              <w:t>периода (ф. 0503171) в сравнении с показателями на начало года с указанием причин образования остатков по счету 121500000 «Вложения в финансовые активы»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суммах изменений вступительного баланса (в том числе забалансовых счетов) в отчетном периоде в связи с внедрением федеральных стандартов бухгалтерского учета государственных финансов, отраженных  в ф. 0503173 по коду причины «02»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Изменения вступительного баланса в отчетном периоде в связи с внедрением федеральных стандартов бухгалтерского учета государственных финансов отсутствуют, ф. 0503173 по коду причины «02» содержит нулевые показатели.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об ошибках предшествующих годов, отраженных после утверждения бухгалтерской отчетности в ф. 0503173 по коду причины «03» (за исключением кода "03.5") и коду причины «07» по каждой статье бухгалтерской отчетности (в том числе забалансовых счетов)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в структуре: - описание ошибки; - сумма корректировки по каждой статье бухгалтерской (финансовой) отчетности за каждый из предшествующих годов; - общая сумма корректировки на начало самого раннего из предшествующих годов, для которого в отчетности раскрыв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аются сравнительные показатели; - описание причин, по которым корректировка сравнительных показателей бухгалтерской (финансовой) отчетности за один или несколько предшествующих годов не представляется возможным; - описание способа отражения исправления оши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бки с указанием периода, в котором отражены исправления.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 xml:space="preserve">В ф. 0503173 </w:t>
            </w: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по коду 03 отражено исправление ошибок прошлых лет в общей сумме - 208 462 676,06рублей, в том числе:</w:t>
            </w: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По строке 010:</w:t>
            </w: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По балансовому счету 101.00 Основные средства (балансовая стоимос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ть) – 104 892 251,38рублей, отражена корректировка стоимости нежилых помещений ранее учитываемых по 1руб., согласно полученных извещений от Департамента городского имущества.</w:t>
            </w: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По строкам 020 и 021:</w:t>
            </w: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По балансовому счету 104.00 Уменьшение стоимости основных средств – 645 703,63рублей, , отражена корректировка амортизации нежилых помещений ранее учитываемых по 1руб., согласно полученных извещений от Департамента городского имущества.</w:t>
            </w: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По строке 240 и 24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1:</w:t>
            </w: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- по балансовому счету 204.33 "Участие в государственных (муниципальных) учреждениях" в общей сумме - 104 216 128,31 руб. отражена корректировка стоимости ОЦИ подведомственных префектуре учрежденийв связи с несвоевременным поступлением первичных учетных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 xml:space="preserve"> документов; несвоевременное предоставление документов по списанию газонокосилки бензиновой; несвоевременное предоставление документов по переоценке нежилых помещений</w:t>
            </w: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По строкам 560 и 570:</w:t>
            </w: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lastRenderedPageBreak/>
              <w:t>По балансовому счету 401.00 Финансовый результат экономического су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бъекта - 208 462 676,06рублей.</w:t>
            </w: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По коду «07» числовые показатели отсутствуют.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1. Информация о суммах корректировок (по балансовым и забалансовым счетам), связанных с ретроспективным применением измененной учетной политики, с указанием обоснования и содержания ее изменения, порядок отражения последствий изменений в отчетности, включа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я указание на обстоятельства, в связи с которыми применяется выбранный способ ведения бухгалтерского учета, и дату, с которой он применяется по показателям, отраженным по коду причины «04» в ф. 0503173; 2. Информация о суммах корректировок (по балансовым и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забалансовым счетам) при ретроспективном применении измененной учетной политики, раскрывающая: - суммы корректировок по каждой статье бухгалтерской отчетности за каждый из предшествующих годов, для которых в бухгалтерской отчетности раскрываются сравнител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ьные показатели; - суммы корректировок, относящихся к годам, предшествующим тем, для которых в отчетности субъекта учета раскрываются сравнительные показатели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В ф. 0503173 показатели по коду причины «04» отсутствуют.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показателям (по балансовым и забалансовым счетам), отраженным по коду причины  05 «Пересчеты показателей отчетности» в ф. 0503173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В ф. 0503173 показатели по коду причины "05" отсутствуют.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Анализ показателей по доходам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 (на основании ф. 0503174) (причины наличия или отсутствия задолже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нности на конец отчетного периода, причины отклонений количества предприятий и организаций, отраженных в ф. 0503174 от ф. 0503171), в том числе анализ отклонений количества предприятий и организаций, отраженных в ф. 0503171 и ф. 0503174 с расшифровкой по Г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УП и АО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причинах (целях) открытия счетов в кредитных организациях, о причинах образования остатка денежных средств на счетах, а также обоснование необходимости наличия банковских счетов в случае отсутствия по ним операций в течение 2-х и более лет (на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основании ф. 0503178-бюджетная деятельность)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Счета в кредитных организациях отсутствуют.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Информация о причинах (целях) открытия счетов в кредитных организациях, о причинах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lastRenderedPageBreak/>
              <w:t>образования остатка денежных средств на счетах в кредитной организации (на основании ф. 0503178-средства во временном распоряжении)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на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личии в Сведениях о вложениях в объекты недвижимого имущества, объектах незавершенного строительства (ф. 0503190) объекта капитального вложения, указанного в Сведениях о вложениях в объекты недвижимого имущества, об объектах незавершенного строительства бю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джетного (автономного) учреждения (ф. 0503790) в случае, когда бюджетное (автономное) учреждение, в соответствии с переданными ему полномочиями, реализует бюджетные инвестиции в объект строительства за счет средств бюджета при условии софинансирования таки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х инвестиций (капитальных вложений)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суммах денежных потоков между субъектом отчетности и организацией, доля участия субъекта отчетности в капитале которой составляет более 20% голосующих акций (долей, паев, вкладов), по направлениям поступлений и выбытий денежных средств (ф. 050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3123)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составе денежных средств и эквивалентов денежных средств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выявленных отклонениях при сверке: сумм денежных средств и эквивалентов денежных средств, отраженных в Отчете о движении денежных средств (ф. 0503123), со статьей «Денежные средства и эквиваленты денежных средств» Баланса (ф. 0503130) и иных о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тчетов, содержащих информацию об остатках и изменениях денежных средств и эквивалентов; сумм денежных потоков от текущих операций, представленных в Отчете о движении денежных средств (ф. 0503123), и чистого операционного результата, отраженного в Отчете о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финансовых результатах деятельности (ф. 0503121)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Сверка итоговых показателей Отчета о движении денежных средств с показателями Отчета об исполнении бюджета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в отношении каждого приобретения или продажи организации, доля участия субъекта отчетности в капитале (имуществе) которой составляет более 50% голосующих акций (долей, паев, вкладов): общая сумма дохода или расхода от операции приобретения или п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родажи организации; сумма денежных потоков, полученных или уплаченных от операции приобретения или продажи организации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остаткам, отраженным по счету бюджетного учета 120134000 «Касса»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остаткам, отраженным по счет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у бюджетного учета 120135000 «Денежные документы»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01 «Имущество, полученное в пользование».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02 «Материальные ценности на хранении»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03 «Бланки строгой отчетности»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04 «Сомнительная задолженность»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05 «Мат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ериальные ценности, оплаченные по централизованному снабжению»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06 «Задолженность учащихся и студентов за невозвращенные материальные ценности»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07 «Награды, призы, кубки и ценные подарки, сувениры»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08 «Путевки неоплаченные»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09 «Запасные части к транспортным средствам, выданные взамен изношенных»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10 «Обеспечение исполнения обязательств»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11 «Государственные и муниципальные гарантии»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12 «Спецоборудование для выполнения научно-исследовательских работ по договорам с заказчиками»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13 «Экспериментальные устройства»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lastRenderedPageBreak/>
              <w:t>Расшифровка показателей по забалансовому счету 15 «Расчетные документы, не оплаченные в срок из-за отсутствия средств на счете государственного (муниципального) учреждения»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16 «Переплаты пенсий и пособий вследствие неправильного применения законодательства о пенсиях и пособиях, счетных ошибок»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17 «Поступления денежных средств»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18 «Выбытия денежных средств»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19 «Невыясненные поступления прошлых лет»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20 «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Задолженность, не востребованная кредиторами»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21 «Основные средства в эксплуатации»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22 «Материальные ценности, полученные по централизованному снабжению»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Расшифровка показателей по забалансовому счету 23 «Периодические издания для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lastRenderedPageBreak/>
              <w:t>пользования»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24 «Нефинансовые активы, переданные в доверительное управление»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25 «Имущество, переданное в возмездное пользование (аренду)»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26 «Имущество, переданное в безвозмездное пользование»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27 «Материальные ценности, выданные в личное пользование работникам (сотрудникам)»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29 «Представленные субсидии на приобретение жилья»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30 «Расчеты по исполнению денежных обязательств через третьих лиц»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31 «Акции по номинальной стоимости»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lastRenderedPageBreak/>
              <w:t>Расшифровка показателей по забалансовому счету 38 «Сметная стоимость создания (реконструкции) объекта концессии»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39 «Доходы от инвестиций на создание и (или) реконструкцию объекта концессии»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40 «Финансовые активы в управляющих компаниях»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42 «Бюджетные инвестиции, реализуемые организациями»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45 «Доходы и расходы по долгосрочным договорам строительного подряда»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Расшифровка показателей по забалансовому счету 49 «Не признанный финансовый результат объекта инвестирования»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счету бюджетного учета 140110173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счету бюджетного учета 140110176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lastRenderedPageBreak/>
              <w:t>Информация по счету бюджетного учета 140110180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счету бюджетного учета 140110190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счету бюджетного учета 140120273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счету бюджетного учета 140150ХХХ в разрезе КОСГУ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пересмотре классификации сравнительной информации, раскрываемой в бухгалтерской (финансовой) отчетности за предыдущие отчетные периоды (о реклассификации показателей бухгалтерской отчетности), подлежащих публичному раскрытию: характер рекласси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фикации; стоимостные показатели, подлежащие реклассификации; причины реклассификации; Информация о неосуществлении реклассификации показателей отчетности за предыдущий отчетный период: с указанием причины, по которой не производится реклассификация показат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елей отчетности; характер корректировок показателей бухгалтерской отчетности, которые были бы произведены в случае реклассификации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каждой подгруппе объектов нематериальных активов с выделением лицензионных соглашений: о стоимости поступивших и выбывших объектов с подразделением на созданные силами субъекта учета, приобретенные отдельно и полученные (переданные) от собств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енника (учредителя), иной организации бюджетной сферы; о стоимости объектов, отчуждаемых не в пользу организаций бюджетной сферы, с указанием первоначальной, балансовой и переоцененной стоимости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каждой подгруппе нематериальных активов с выделением лицензионных соглашений: о сумме увеличения или уменьшения стоимости активов в результате признания в отношении них убытков от обесценения активов на отчетную дату, сумма накопленного убытк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а от обесценения объектов нематериальных активов на отчетную дату; о прочих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lastRenderedPageBreak/>
              <w:t>изменениях стоимости активов в течение периода; дополнительные данные в соответствии с учетной политикой учреждения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объектам нематериальных активов, раскрывающая суммы начисленной амортизации в течение отчетного периода, суммы накопленной амортизации на отчетную дату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Дополнительная информация по нематериал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ьным активам: балансовая стоимость объектов нематериальных активов, находящихся в эксплуатации и имеющих нулевую остаточную стоимость; сумма затрат на научные исследования и опытно-конструкторские и технологические разработки, признанные в качестве расхода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в течение периода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полученных нефинансовых активах в рамках заключенных договоров неоперационной (финансовой) аренды (лизинга)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Информация о сверке на отчетную дату общей суммы арендных платежей (в том числе по договорам о субаренде (поднайма) с общей суммой их дисконтированных стоимостей, по группам объектов учета аренды, сформированным исходя из их сроков полезного использования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(до 1 года, от 1 до 3 лет, свыше 3 лет)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об общей сумме процентных расходов, признанных за отчетный период, об общей сумме доходов по условным арендным платежам, признанных в отчетном периоде в качестве доходов текущего финансового периода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доходах в разрезе групп, подгрупп в зависимости от экономического содержания с обособлением сумм предоставленных льгот (скидок)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 о доходах от подарков, пожертвований и других безвозмездно полученных ценностей, признанных в текущем отчетном периоде, и характер указанных ценностей, а также информация об основных видах безвозмездно полученных услуг (работ)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суммах: дебиторской задолженности, признанной по необменным операциям; изменений доходов будущих периодов по видам доходов; обязательств по авансовым поступлениям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количестве связанных сторон, в случае если доля участия в капитале (имуществе) которых составляет более 50% общего количества голосующих акций (долей, паев, вкладов), для следующих групп организаций: коммерческих организаций (за исключением го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сударственных (муниципальных) унитарных предприятий); некоммерческих организаций (за исключением государственных (муниципальных) учреждений)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Информация и описание основных условий операций со связанными сторонами каждого вида, проведенными в отчетном периоде на условиях, отличающихся от обычных условий совершения им аналогичных операций с лицами, которые не являются его связанными сторонами (с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указанием отличий условий таких операций аналогичных фактов хозяйственной жизни (операций))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Сведения об операциях по каждой связанной стороне: описание характера отношений субъекта отчетности и связанной стороны; виды операций со связанными сторонами, осуществленных в отчетном периоде, в том числе безвозмездное перечисление (передача) активов, пр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едоставление (получение) кредитов, займов, ссуд, реализация товаров, выполнение работ, оказание услуг, операции с иным государственным (муниципальным) имуществом, прочие операции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Сведения об объеме операций со связанными сторонами каждого вида в денежном выражении с выделением сумм операций со связанными сторонами, расчеты по которым не завершены, в том числе: описание условий и сроков осуществления (завершения) расчетов по операци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ям со связанными сторонами, а также формы расчетов; величину образованных резервов по сомнительным долгам на конец отчетного периода; величину списанной дебиторской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lastRenderedPageBreak/>
              <w:t>задолженности, по которой срок исковой давности истек, других долгов, нереальных для взыска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ния, в том числе за счет резерва по сомнительным долгам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ация по каждому виду резерва: сумма на начало и конец отчетного периода; сумма изменений (увеличений, уменьшений) величины резерва в структуре оснований создания, использования, восстановления неиспользованных и излишне начисленных сумм резерва, приращения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дисконтированной стоимости за отчетный период в связи с приближением срока исполнения обязательства, под которое был сформирован резерв, а также влияния любых изменений ставки дисконтирования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каждому виду резерва: краткое описание оснований создания резерва и ожидаемые сроки его использования; указание на признаки неопределенности в части момента предъявления требования об исполнении обязательства и (или) его размера; сумма ожидае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мых возмещений по встречным требованиям или требованиям к другим лицам при исполнении соответствующего обязательства, признанных самостоятельным активом (с указанием наименования актива)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каждой группе непроизведенных активов, раскрывающая сумму балансовой стоимости, а также сумму накопленных убытков от обесценения непроизведенных активов на начало и на конец периода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каждой группе непроизведенных активов, раскрывающая сумму стоимости поступивших объектов с отдельным раскрытием сумм поступлений в результате приобретения, получения от собственника (учредителя), иной организации бюджетной сферы, вследствие у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величений балансовой стоимости объекта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каждой группе непроизведенных активов, раскрывающая сумму стоимости выбывших объектов с отдельным раскрытием сумм выбытий в результате передачи объектов имущества, учитываемых в составе непроизведенных активов, собственнику (учредителю), иной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организации бюджетной сферы, вследствие перевода такого объекта в иную категорию объектов бухгалтерского учета, предназначенную для отчуждения не в пользу организаций бюджетной сферы, в связи с его реклассификацией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сверке остаточной стоимости на начало и на конец периода по каждой группе непроизведенных активов: - суммы увеличения или уменьшения остаточной стоимости в результате признания в отношении их убытков от обесценения активов (снижения убытков от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обесценения активов), суммы накопленного убытка от обесценения объектов непроизведенных активов на отчетную дату; чистые курсовые разницы, возникающие при пересчете бухгалтерской отчетности из функциональной валюты в отличную от нее валюту представления и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ли пересчете бухгалтерской отчетности в иностранной валюте по зарубежной деятельности в функциональную валюту; прочие изменения стоимости объектов непроизведенных активов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Дополнительная информация по каждой группе непроизведенных активов: наличие и размер ограничений прав собственности или иных предоставленных прав, включая стоимость объектов имущества, которые субъект учета не вправе использовать в качестве обеспечения исп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олнения обязательств, а также перечень непроизведенных активов, переданных в качестве обеспечения исполнения обязательств субъекта учета, и их остаточную стоимость на начало и конец отчетного периода; сумма договорных обязательств по приобретению непроизве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денных активов на конец отчетного периода; сумма компенсаций, причитающихся к получению от третьих сторон в связи с обесценением, утратой или передачей объектов непроизведенных активов, включенных в доходы текущего периода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об объектах непроизведенных активов, не приносящих субъекту учета экономические выгоды, не имеющих полезного потенциала, в отношении которых в дальнейшем не предусматривается получение экономических выгод и учитывающихся на забалансовых счетах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земельных участках, не внесенных в государственный кадастр недвижимости, на которые государственная собственность разграничена, не закрепленных на праве постоянного (бессрочного) пользования за учреждением, не используемых для извлечения эконо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мических выгод или полезного потенциала, справедливая стоимость которых не определяется и для которых ведется забалансовый учет в условной оценке: один объект - один рубль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об объектах учета выплат персоналу: о сумме задолженности по текущим выплатам персоналу на начало и конец отчетного периода; о сумме резерва предстоящих расходов по выплатам персоналу (отложенных выплат персоналу) на начало и конец отчетного пер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иода по каждому виду обязанностей по выплатам персоналу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сумме корректировок (увеличений, уменьшений) величины резерва предстоящих расходов по выплатам персоналу (отложенных выплат персоналу) по каждому виду отложенных выплат персон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алу в структуре оснований: признание объектов учета отложенных выплат персоналу; признание объектов учета текущих выплат персоналу за счет сумм ранее признанного резерва; корректировка резерва в части избыточно начисленных сумм резерва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пенсионных и иных аналогичных выплатах на плановый период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Раскрытие информации субъектом консолидированной отчетности о сверке следующих показателей: итоговых (консолидированных) величин доходов и расходов всех сегментов с итоговыми (консолидированными) величинами доходов и расходов, отраженными в годовом консоли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дированном Отчете о финансовых результатах; итоговых (консолидированных) величин активов и обязательств всех сегментов с итоговыми (консолидированными) величинами активов и обязательств, отраженными в годовом консолидированном бухгалтерском балансе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каждой группе биологических активов: сумма балансовой стоимости на начало и на конец периода; сумма накопленных убытков от обесценения биологических активов на начало и на конец периода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Информация об изменениях балансовой стоимости объектов биологических активов на начало и на конец периода в разрезе групп биологических активов раскрывающая: прибыль или убыток от изменений справедливой стоимости; увеличение (уменьшение) стоимости за счет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активов, приобретенных в результате обменных операций; увеличение (уменьшение) стоимости за счет активов, приобретенных в результате необменных операций; уменьшение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lastRenderedPageBreak/>
              <w:t>стоимости в связи с реклассификацией объекта биологических активов в состав биологической п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родукции в момент ее сбора; сумму курсовых разниц, возникающих при пересчете показателей бухгалтерской (финансовой) отчетности загранучреждения, сформированной в иностранной валюте, в рублевый эквивалент, в том числе сумму курсовых разниц, возникающих при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пересчете показателей бухгалтерской (финансовой) отчетности загранучреждения, сформированной в иностранной валюте в любую третью валюту, позволяющую осуществить пересчет в рублевый эквивалент; суммы увеличения или уменьшения стоимости объектов биологически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х активов в результате признания в отношении них убытков от обесценения активов (снижения убытков от обесценения активов), отраженных или восстановленных в соответствии с федеральным стандартом бухгалтерского учета для организаций государственного сектора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«Обесценение активов», суммы накопленного убытка от обесценения биологических активов на отчетную дату; иные изменения стоимости биологических активов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Информация, раскрываемая в соответствии с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положениями федерального стандарта бухгалтерского учета "Бухгалтерская (финансовая) отчетность с учетом инфляции, в том числе инфляционные коэффициенты пересчета, которые используются для расчета корректировок данных бухгалтерского учета (показателей бухг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алтерской отчетности)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сумме балансовой стоимости, а также сумме накопленной амортизации по каждой группе нефинансовых активов имущества казны (на основании ф. 0503168)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сверке остаточной стоимости на начало и на конец отчетного периода по каждой группе нефинансовых активов имущества казны раскрывающая: сумму стоимости поступивших объектов нефинансовых активов имущества казны с отдельным раскрытием сумм поступ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лений в результате приобретения (создания) объектов нефинансовых активов имущества казны, получения объектов от собственника (учредителя), иной организации бюджетной сферы, в результате увеличений балансовой стоимости нефинансовых активов имущества казны,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в результате реклассификации; сумму стоимости выбывших объектов нефинансовых активов имущества казны с отдельным раскрытием сумм выбытий в результате передачи объектов имущества, учитываемых в составе нефинансовых активов имущества казны, собственнику (учр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едителю), иной организации бюджетной сферы, а также в результате реклассификации; суммы начисленной амортизации по объектам нефинансовых активов имущества казны, для которых Стандарт предусматривает начисление амортизации, суммы накопленной амортизации 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отчетную дату; первоначальную стоимость, балансовую стоимость и переоцененную стоимость объектов нефинансовых активов имущества казны, отчуждаемых не в пользу организаций бюджетной сферы; прочие изменения стоимости объектов нефинансовых активов имущества к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азны (на основании ф. 0503168)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счету бюджетного учета 140110174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Иная информация, характеризующая показатели бухгалтерской отчетности субъекта бюджетной отчетности, не нашедшая отражения в таблицах и приложениях</w:t>
            </w:r>
          </w:p>
          <w:p w:rsidR="00000000" w:rsidRDefault="00E3230B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Иная информация, характеризующая показатели бухгалтерской отчетности субъекта бюджетной отчетности, не нашедшая отражения в таблицах и приложениях, отсутствует.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</w:tbl>
    <w:p w:rsidR="00000000" w:rsidRDefault="00E3230B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</w:p>
    <w:p w:rsidR="00000000" w:rsidRDefault="00E3230B">
      <w:pPr>
        <w:jc w:val="both"/>
        <w:rPr>
          <w:rFonts w:ascii="Times New Roman CYR" w:eastAsia="Times New Roman" w:hAnsi="Times New Roman CYR" w:cs="Times New Roman CYR"/>
          <w:color w:val="004DBB"/>
          <w:lang w:val="en-US" w:eastAsia="en-US"/>
        </w:rPr>
      </w:pPr>
    </w:p>
    <w:p w:rsidR="00000000" w:rsidRDefault="00E3230B">
      <w:pPr>
        <w:jc w:val="both"/>
        <w:rPr>
          <w:rFonts w:ascii="Times New Roman CYR" w:eastAsia="Times New Roman" w:hAnsi="Times New Roman CYR" w:cs="Times New Roman CYR"/>
          <w:color w:val="004DBB"/>
          <w:lang w:val="en-US" w:eastAsia="en-US"/>
        </w:rPr>
      </w:pPr>
    </w:p>
    <w:p w:rsidR="00000000" w:rsidRDefault="00E3230B">
      <w:pPr>
        <w:jc w:val="center"/>
        <w:rPr>
          <w:rFonts w:ascii="Times New Roman" w:eastAsia="Times New Roman" w:hAnsi="Times New Roman" w:cs="Calibri"/>
          <w:sz w:val="28"/>
        </w:rPr>
      </w:pPr>
      <w:r>
        <w:rPr>
          <w:rFonts w:ascii="Times New Roman" w:eastAsia="Times New Roman" w:hAnsi="Times New Roman" w:cs="Calibri"/>
          <w:b/>
          <w:color w:val="000000"/>
          <w:sz w:val="28"/>
        </w:rPr>
        <w:t>Раздел</w:t>
      </w:r>
      <w:r>
        <w:rPr>
          <w:rFonts w:ascii="Times New Roman" w:eastAsia="Times New Roman" w:hAnsi="Times New Roman" w:cs="Calibri"/>
          <w:b/>
          <w:color w:val="000000"/>
          <w:sz w:val="28"/>
        </w:rPr>
        <w:t xml:space="preserve"> 5 </w:t>
      </w:r>
      <w:r>
        <w:rPr>
          <w:rFonts w:ascii="Times New Roman" w:eastAsia="Times New Roman" w:hAnsi="Times New Roman" w:cs="Calibri"/>
          <w:b/>
          <w:color w:val="000000"/>
          <w:sz w:val="28"/>
        </w:rPr>
        <w:t>«</w:t>
      </w:r>
      <w:r>
        <w:rPr>
          <w:rFonts w:ascii="Times New Roman" w:eastAsia="Times New Roman" w:hAnsi="Times New Roman" w:cs="Calibri"/>
          <w:b/>
          <w:color w:val="000000"/>
          <w:sz w:val="28"/>
        </w:rPr>
        <w:t>Прочие вопросы деятельности субъекта бюджетной отчетности»</w:t>
      </w:r>
      <w:r>
        <w:rPr>
          <w:rFonts w:ascii="Times New Roman" w:eastAsia="Times New Roman" w:hAnsi="Times New Roman"/>
          <w:sz w:val="28"/>
        </w:rPr>
        <w:t xml:space="preserve"> </w:t>
      </w:r>
    </w:p>
    <w:tbl>
      <w:tblPr>
        <w:tblStyle w:val="1"/>
        <w:tblW w:w="540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74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Информация, указывающая на то, что представленные показатели бухгалтерской (финансовой) отчетности сформированы исходя из нормативных правовых актов, регулирующих ведение бухгалтерского учета и составление бухгалтерской (финансовой) отчетности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об основных положениях учетной политики, раскрываемая в рамках формирования Таблицы № 4 к Пояснительной записке (ф. 0503160): о методах пересчета стоимости объектов бухгалтерского учета загранучреждения (и дополнительно (при наличии) о его измен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ении относительно предыдущего отчетного периода); об используемых методах начисления амортизации по каждой группе основных средств; об используемых методах определения сроков полезного использования по каждой группе основных средств; о методах учета суммы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накопленной амортизации при переоценке объекта основных средств; о методах оценки запасов при их выбытии и методах расчета себестоимости (распределения накладных затрат на изготовление готовой продукции, выполнение работ, услуг)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Информация о прочих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положениях учетной политики, не отраженной в Таблице № 4 «Сведения об основных положениях учетной политики»: о применяемых способах ведения бухгалтерского учета; состав и содержание документов учетной политики; используемые подходы для определения структур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ы и эквивалентов денежных средств, классификации денежных потоков, осуществления пересчета в рубли величины денежных потоков в иностранной валюте, а также другие пояснения, необходимые для понимания информации,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lastRenderedPageBreak/>
              <w:t>представленной в Отчете о движении денежных с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редств; способы оценки и признания активов, обязательств, доходов и расходов; прочие положения учетной политики субъекта отчетности, необходимые для понимания пользователями бухгалтерской (финансовой) отчетности его финансового положения, финансовых резуль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татов деятельности и движения денежных средств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положениях учетной политики в случае изменения учетной политики в отчетном периоде: обоснование и содержание изменения учетной политики, в случае если последствия изменения учетной политики, оказали или способны оказать на существенные изменен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ия показателей, отражающих финансовое положение, финансовые результаты деятельности субъекта учета и (или) движение денежных средств; порядок отражения последствий изменения учетной политики в бухгалтерской отчетности, включая указание на обстоятельства, в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связи с которыми применяется выбранный способ ведения бухгалтерского учета, и дату, с которой он применяется в связи с изменением учетной политики; раскрытие информации о применении измененной учетной политики, в случае если раскрытие информации, невозмож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но осуществить относительно сравнительных показателей по году (годам) предшествующему году изменения учетной политики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профессиональных суждениях, выработанных в процессе применения учетной политики и оказывающих существенное влияние на показатели бухгалтерской отчетности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характере и последствиях изменений в оценках объектов основных средст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в, оказывающих влияние в отчетном периоде, либо которые будут оказывать влияние в последующие периоды в отношении сроков полезного использования и методов начисления амортизации объектов основных средств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Информация о событиях, произошедших в период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между отчетной датой и датой утверждения бухгалтерской отчетности по долговым обязательствам, классифицированным как краткосрочные: рефинансирование на долгосрочный период; устранение нарушения соглашения о долгосрочном финансировании; получение от кредито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 отсрочки исполнения обязательств на период, оканчивающийся не ранее чем через 12 месяцев после отчетной даты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События, произошедших в период между отчетной датой и датой утверждения бухгалтерской отчетности  по долговым обязательствам, классифицированн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ым как краткосрочные:</w:t>
            </w: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- рефинансирование на долгосрочный период;</w:t>
            </w: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- устранение нарушения соглашения о долгосрочном финансировании;</w:t>
            </w: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 xml:space="preserve">- получение от кредитора отсрочки исполнения обязательств на период, оканчивающийся не ранее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lastRenderedPageBreak/>
              <w:t>чем через 12 месяцев после отчетн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ой даты- отсутствуют.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об осн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овных источниках неопределенностей в отношении учетных оценок, включая ключевые допущения, касающиеся будущих событий, и другие основные источники неопределенностей, в связи с которыми имеются риски существенных корректировок балансовой стоимости активов и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обязательств в следующем отчетном году, а также наименование и балансовая стоимость таких активов и обязательств на отчетную дату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об объекте бухгалтерского учета, стоимость которого нельзя оценить, и который не признается в бухгалтерском учете, если иное не установлено иными нормативными правовыми актами, регулирующими ведение бухгалтерского учета и составление бухгалтерск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ой отчетности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задолженности по исполнительным документам и правовом основании ее возникновения, отраженная в ф. 0503296, с указанием причин неисполнения обязательств, в том числе по КОСГУ 296, КОСГУ 297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задолженности по исполнительным документам и правовом основании ее возникновения, отраженная в ф. 0503296, с указанием причин неисполнения обязательств, в том числе по КОСГУ 296, КОСГУ 297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просроченной кредиторской задолженности, отраженная в аналитической таблице к ф. 0503387 «Справочная таблица к отчету об исполнении консолидированного бюджета субъекта Российской Федерации»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Информация представлена в разделе 1 "Анализ просроч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енной кредиторской задолженности" Аналитической таблицы к ф.0503387 «Справочная таблица к отчету об исполнении консолидированного бюджета субъекта Российской Федерации»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Иная информация, отраженная в ф. 0503387 «Справочная таблица к отчету об исполнении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консолидированного бюджета субъекта Российской Федерации» и требующая пояснения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 xml:space="preserve">Иная информация, отраженная в ф. 0503387 «Справочная таблица к отчету об исполнении консолидированного бюджета субъекта Российской Федерации» и требующая пояснения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lastRenderedPageBreak/>
              <w:t>отсутству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ет.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показателях, отраженных в Отчете  ф. 0503121 по  коду КОСГУ 231 - «Обслуживание внутреннего долга»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показателях, отраженных в Отчете  ф. 0503121 по  коду КОСГУ 232 - «Обслуживание внешнего долга»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показателях, отраженных в Отчете ф. 0503121 по коду КОСГУ 253 - «Перечисления международным организациям»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Информация о полученных межбюджетных трансфертах находящихся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на отчетную дату на счете Управления Федерального казначейства № 03100 «Средства поступлений, являющихся источниками формирования доходов бюджетов бюджетной системы Российской Федерации» (на основании ф. 0503184)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Балансовый счет 40101 «Доходы, распределя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емые органами Федерального казначейства между уровнями бюджетной системы Российской Федерации» (на основании ф. 0503184) у учреждения отсутствует.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Иная информация  о  межбюджетных трансфертах за отчетный период, не нашедшая отражения в формах отчетов, таблицах и приложениях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По целевой статье 35 4 00 51410 «Обеспечение деятельности депутатов Государственной Думы и их помощников в избирательных округ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 xml:space="preserve">ах» предусмотрены бюджетные ассигнования в сумме 15 910 000,00 руб. Исполнение составило </w:t>
            </w: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4 615 824,36 руб. или 29,01%.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влиянии факта несоблюдения допущения непрерывности деятельности субъекта отчетности на показатели бухгалтерской (финанс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овой) отчетности (с описанием причины, по которой субъект отчетности не считается непрерывно действующим)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Информация о показателях, обобщение которых не влияет на существенность информации,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lastRenderedPageBreak/>
              <w:t>раскрываемой в бухгалтерской отчетности, но которые необходимы для достоверного представления информации о результатах деятельности субъекта отчетности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Сопоставимая информация по всем публично раскрываемым показателям бухгалтерской отчетности хотя бы за один аналогичный предыдущий период, за исключением случаев, когда иное предусмотрено нормативными правовыми актами, регулирующими ведение бухгалтерского у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чета и составление бухгалтерской отчетности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Детализированная существенная информация об активах и обязательствах, необходимая для понимания пользователями бухгалтерской отчетности финансового положения субъекта отчетности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чистых активах. В случаях, если чистые активы не превышают нижнюю границу допустимых лимитов, установленных действующим законодательством Российской Федерации, дополнительно раскрываются причины отклонения от требований, а также план мероприят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ий по нормализации показателей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Детализированная информация о доходах и расходах за отчетный период и аналогичный период прошлого года, систематизированных по степени их существенности по отношению к финансовому результату отчетного периода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вносимых изменениях в показатели ранее представленной бухгалтерской отчётности по решению уполномоченного органа в период после отчетной даты и до даты утверждения отчетности на основании выявленных ошибок и существенных событий после отчетной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даты (с указанием причин внесения исправлений и их содержания) по ошибкам отчетного периода, выявленным в ходе камеральной проверки отчетности, а также в ходе осуществления внутреннего (внешнего) финансового контроля (аудита)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Информация об ошибке бухгалтерской отчетности, допущенной в текущем финансовом году (ошибка отчетного года) и выявленной после даты принятия (утверждения) квартальной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lastRenderedPageBreak/>
              <w:t>бухгалтерской отчетности (информация о существенности ошибки, описание ошибки (содержания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и суммы), а также суммовых значений выполненных корректировок бухгалтерской отчетности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lastRenderedPageBreak/>
              <w:t>Ошибка бухгалтерской отчетности, допущенной в текущем финансовом году (ошибка отчетного года) и выявленной после даты принятия (утверждения) квартальной бухгалтерской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 xml:space="preserve"> отчетности отсутствует.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Описание изменения оценочного значения, повлиявшего на показатели бухгалтерской (финансовой) отчетности за отчетный период, с указанием денежных (стоимостных) значений таких изменений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Описание изменения оценочного значения, которое повлияет на показатели бухгалтерской (финансовой) отчетности за периоды, следующие за отчетным, с указанием денежных (стоимостных) значений таких изменений, либо пояснение  причин, почему определить влияние и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зменения оценочного значения на показатели бухгалтерской (финансовой) отчетности за будущие периоды в денежном (стоимостном) значении не представляется возможным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Раскрытие информации по показателям консолидированной (бухгалтерской) отчетности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Перечень событий после отчетной даты, подтверждающих условия хозяйственной деятельности субъекта отчетности, на основании которых сформированы показатели бухгалтерской отчетности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Перечень и характеристика событий после отчетной даты, указывающих на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условия деятельности субъекта отчетности, и оценка последствий их наступления в денежном выражении (либо причины невозможности оценки события)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Описание события после отчетной даты (в том числе выявленных ошибок) и его оценка в денежном выражении в случае, если для соблюдения сроков представления бухгалтерской отчетности и (или) в связи с поздним поступлением в пределах срока формирования и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lastRenderedPageBreak/>
              <w:t>предст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авления бухгалтерской отчетности первичных учетных документов информация о событии после отчетной даты не отражается в бухгалтерском учете и (или) не используется при формировании показателей бухгалтерской отчетности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Описание события после отчетной даты (в том числе выявленных ошибок) и его оценка в денежном выражении в случае, если в период между датой подписания бухгалтерской отчетности и датой ее принятия (утверждения) получена новая информация о событии после отчет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ной даты и (или) произошло (выявлено) событие, которое в ближайшем будущем окажет существенное влияние на финансовое положение, финансовый результат и (или) движение денежных средств субъекта отчетности, при этом не отражается в бухгалтерском учете и (или)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не используется при формировании показателей бухгалтерской отчетности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Перечень форм отчетности, не включенных в состав бюджетной отчетности за отчетный период ввиду отсутствия числовых значений показателей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Формы бюджетной отчетности, не имеющие числовых значений показателей и не содержащие пояснения, сформированы и представлены посредством модуля «Консолидированная бюджетная отчетность» автоматизированной информационной системы Департамента финансов города М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осквы с указанием отметки «показатели отсутствуют»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Данные об условных обязательствах и активах, формирующие существенную информацию: краткое описание условных обязательств и активов; оценка влияния условных обязательств и активов на финансовые показате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ли; о праве субъекта учета на условные активы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в отношении каждого долгосрочного договора строительного подряда: способ определения процента исполнения обязательств; за отчетный период и с начала исполнения долгосрочного договора величина доходов от реализации, величина себестоимости выполне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нных работ, величина финансового результата, с выделением суммы, не входящей в себестоимость выполненных работ; величина расчетов на отчетную дату, в том числе по предварительной оплате (авансам полученным), по доходам от реализации, по доходам к предъявле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нию, а также информация о причинах возникновения и сроках погашения дебиторской задолженности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в отношении иных долгосрочных договоров по видам выполненных работ (оказанных услуг) за отчетный период с указанием величины доходов от реализации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в отношении каждого концессионного соглашения: - наименован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ие концессионера, срок действия и реквизиты концессионного соглашения, описание деятельности, предусмотренные концессионным соглашением; - описание изменений существенных условий, произошедших в отчетном периоде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Информация о данных об имуществе концедента на начало и на конец отчетного периода, в том числе: состав имущества концедента с указанием балансовой стоимости каждого объекта и суммы накопленной амортизации; сметная стоимость создания и (или) реконструкции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объекта концессионного соглашения; фактическая величина инвестиций концессионера в создание и (или) реконструкцию объекта концессионного соглашения; планируемая и фактическая даты ввода в эксплуатацию объекта концессионного соглашения; пояснения в отношени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 причин изменения раскрываемых показателей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об обязательствах концедента на начало и на конец отчетного периода по: финансовому обеспечению (финансированию (возмещению) расходов на создание и (или) реконструкцию объекта концессионного сог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лашения; финансовому обеспечению (финансированию (возмещению) расходов на использование (эксплуатацию) указанного объекта; возмещению недополученного дохода концессионера; предоставленным концессионеру государственным и (или) муниципальным гарантиям и их и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сполнению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доходах концедента: величина доходов от концессионной платы, признанных концедентом в отчетном периоде; величина доходов концедента от создания и (или) реконструкции объект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а концессионного соглашения, признанных концедентом в отчетном периоде; величина задолженности концессионера по концессионной плате на отчетную дату с выделением суммы просроченной задолженности концессионера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переданном имуществе по концессионному соглашению, осуществляемому без прекращения права оперативного управления в отношении имущества, находящегося у государственного (муниципального) учреждения, или без прекращения права хозяйственного веден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ия в отношении имущества, принадлежащего государственному (муниципальному) предприятию, в том числе: состав имущества концедента с указанием балансовой стоимости каждого объекта и суммы накопленной амортизации; сметная стоимость создания и (или)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lastRenderedPageBreak/>
              <w:t>реконструк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ции объекта концессионного соглашения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заимствованиям: величина затрат, включенных в расходы текущего отчетного периода; величина обязательств по затратам по заимствованиям на начало и конец отчетного периода; величина затрат по заимств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ованиям, включенных в течение отчетного периода в первоначальную стоимость нефинансовых активов, создаваемых с привлечением заимствований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каждой группе финансовых активов и финансовых обязательств о стоимости поступивших (выбывших) финансовых активов и финансовых обязательств с выделением стоимости финансовых активов (финансовых обязательств), поступивших (переданных) от иной о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рганизации бюджетной сферы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каждой группе финансовых активов и финансовых обязательств: о реклассификации финансовых активов с отражением причин такой реклассификации; об изменении стоимости финансовых активов и финансовых обязательств, включая изменения в результате на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числения процентов и (или) изменения справедливой стоимости финансовых активов; о начисленных или восстановленных убытках от обесценения финансовых активов, сумме накопленного убытка от обесценения финансовых активов на отчетную дату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к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аждой группе финансовых активов: о стоимости финансовых активов, переданных в качестве залогового обеспечения исполнения обязательств, и условий таких залоговых обеспечений; о сумме полученных в виде финансовых активов залоговых обеспечений и условий таких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залоговых обеспечений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каждой группе финансовых активов и финансовых обязательств о сумме финансовой дебиторской задолженности, признанной в отчетном периоде сомнительной задолженностью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Дополнительная информация по финансовым активам, удерживаемым до погашения, в виде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lastRenderedPageBreak/>
              <w:t>долговых ценных бумаг (облигаций, векселей), а также по финансовые активам, предназначенным для перепродажи: о составе и стоимости финансовых активов, учитываемых не по спра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ведливой стоимости, с указанием причин их отражения в бухгалтерском учете не по справедливой стоимости; о прогнозах (намерениях) субъекта учета реализовать в обозримом будущем финансовые активы; о сумме выбытия с бухгалтерского учета и финансовом результат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е, сформированном по результатам таких выбытий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Раскрытие информации о финансовых результатах операций с финансовыми инструментами, сформированных за отчетный период, осуществляется по соответствующим статьям (подстатьям) кодов классификации операций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сектора государственного управления группы 100 «Доходы» и 200 «Расходы» классификации операций сектора государственного управления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Доп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олнительная информация по долговым обязательствам, по которым в отчетном периоде допущено неисполнение (нарушение исполнения) обязательств: сумма неисполненных (исполненных с нарушением сроков погашения) обязательств по погашению основного долга и (или) по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оплате начисленных процентов; сумма долговых обязательств, по которым изменены условия их погашения (исполнения) в результате допущенного неисполнения (нарушения исполнения) обязательств в отчетном периоде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объектам нематериальных активов с определенным сроком полезного использования с подразделением на объекты нематериальных активов, созданные силами субъекта учета, и прочие объекты нематериальных активов, с обязательным выделением лицензионных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соглашений: используемые методы определения сроков полезного использования; используемые методы начисления амортизации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Общее описание существенной информации об объектах учета аренды: наличие условий продления срока пользования имуществом и условий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о праве покупки (выкупа) используемого имущества (объекта учета аренды), положений о повышения арендных платежей, в том числе цены выкупа; основные принципы определения расходов (доходов) по условным арендным платежам; любые ограничения, предусмотренные д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оговором аренды (имущественного найма) или договором безвозмездного пользования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Дополнительная информация для каждой подгруппы объектов нематериальных активов: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lastRenderedPageBreak/>
              <w:t>наличие и размер ограничений прав собств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енности или иных предоставленных прав; стоимость объектов нематериальных активов, которые субъект учета не вправе использовать в качестве обеспечения исполнения своих обязательств; перечень объектов нематериальных активов, переданных в качестве обеспечения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исполнения обязательств субъекта учета, и их остаточную стоимость на начало и конец отчетного периода; сумма договорных обязательств по приобретению объектов нематериальных активов на конец отчетного периода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Характер и последствия изменений в оценках объектов нематериальных активов, оказывающих влияние в отчетном периоде, либо которые будут оказывать влияние в последующие периоды в отношении сроков полезного использования и методов начисления амортизации объек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тов нематериального актива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каждому соглашению о совместно осуществляемых операциях: цель совместно осуществляемых операций; величина активов и обязательств, признанных в связи с участием в соглашении о совместно осуществляемых операция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х, по состоянию на конец отчетного периода; величина доходов и расходов, признанных за отчетный период в связи с участием в соглашении о совместно осуществляемых операциях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Информация, раскрываемая участником совместной деятельности по каждому договору простого товарищества: цель совместной деятельности; величина вклада (имущества) в совместную деятельность; величина дохода (доли в финансовом результате от участия в совместно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й деятельности) за отчетный период; стоимостная оценка доли субъекта учета договорных обязательств, предоставленных субъектом учета, ведущим общие дела по договору простого товарищества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проведении аудиторского мероприятия, целью которого является подтверждение достоверности годовой бюджетной отчетности, в том числе соответствия порядка ведения бюджетного учета единой методологии учета и отчетности до подписания годовой бюджет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ной отчетности руководителем субъекта бюджетной отчетности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Раскрытие информации об объектах инвестирования с применением метода долевого участия в отношении каждого особо значимого объекта инвестирования: наименование объекта инвестирования; доля уч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астия в капитале (имуществе) объекта инвестирования в процентном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lastRenderedPageBreak/>
              <w:t>выражении на конец отчетного года и предшествующего отчетного года; балансовая стоимость инвестиции на конец отчетного года и предшествующего отчетного года, рассчитанная с применением метода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долевого участия; сумма доходов от инвестиции (дивидендов) за отчетный год; сумма не отраженных в годовой бухгалтерской (финансовой) отчетности убытков объекта инвестирования за отчетные периоды, начиная с первого года применения Стандарта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Раскрытие информации об объектах инвестирования с применением метода долевого участия в отношении каждого особо значимого объекта инвестирования за год, предшествующий отчетному году: краткосрочные активы, в том числе денежные средства и эквиваленты денежн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ых средств; долгосрочные активы; раткосрочные обязательства; долгосрочные обязательства; доходы от обычных видов деятельности (выручка); прочие доходы; налог на прибыль; прибыль (убыток) после вычета налогов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Информация в отношении объектов инвестирования, включенных в группу объектов инвестирования на отчетную дату, за исключением особо значимых объектов инвестирования: наименование объектов инвестирования; совокупная балансовая стоимость инвестиций в объекты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инвестирования на конец отчетного года и предшествующего отчетного года, рассчитанная с применением метода долевого участия; совокупная сумма, соответствующая доле инвестора в прибыли (убытке) объектов инвестирования за отчетный год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об из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менениях единой учетной политики при централизации учета и (или) учетной политики субъектов учета, входящих в периметр консолидации, которые оказывают существенное влияние на значения показателей, раскрываемых по сегментам, отражаются в порядке, предусмотр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енном федеральным стандартом бухгалтерского учета для организаций государственного сектора «Учетная политика, оценочные значения и ошибки»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об источниках, использованных при определении справедливой стоимости каждой группы биологической продукции в момент ее сбора (получения)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По каждой группе биологических активов информация о наличии и размере ограничений прав собственности и иных предоставленных прав, которые субъект учета не вправе использовать в качестве обеспечения исполнения своих обязательств, а также перечень биологичес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ких активов, переданных в качестве обеспечения исполнения обязательств субъекта учета, и их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lastRenderedPageBreak/>
              <w:t>стоимость на начало и конец отчетного периода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По каждой группе биологических активов информация о характере и степени ограничений на способность субъекта уче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та использовать или продавать биологические активы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Информация, раскры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ваемая участником совместной деятельности, ведущим общие дела по договору простого товарищества, о величине вклада в общее дело по договору простого товарищества каждого участника совместной деятельности по договору простого товарищества, с указанием полно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го наименования участника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об используемом методе определения сроков полезного использования, используемом методе начисления амортизации по каждой группе нефинансовых активов имущества казны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Иная финансовая и нефинансовая информация, оказавшая существенное влияние на результаты деятельности субъекта бюджетной отчетности и необходимая для понимания пользователями бухгалтерской отчетности финансового положения, финансовых результатов деятельност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 и движения денежных средств субъекта отчетности за отчетный период, а также иная информация, характеризующая показатели бухгалтерской отчетности, не нашедшая отражения в таблицах и приложениях, включаемых в раздел</w:t>
            </w:r>
          </w:p>
          <w:p w:rsidR="00000000" w:rsidRDefault="00E3230B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Иная финансовая и нефинансовая информация, оказавшая существенное влияние на результаты деятельности субъекта бюджетной отчетности и необходимая для понимания пользователями бухгалтерской отчетности финансового положения, финансовых результатов деятельност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и и движения денежных средств субъекта отчетности за отчетный период, а также иная информация, характеризующая показатели бухгалтерской отчетности, не нашедшая отражения в таблицах и приложениях, включаемых в раздел, отсутствует.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E3230B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</w:tbl>
    <w:p w:rsidR="00000000" w:rsidRDefault="00E3230B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</w:p>
    <w:p w:rsidR="00000000" w:rsidRDefault="00E3230B">
      <w:pPr>
        <w:jc w:val="both"/>
        <w:rPr>
          <w:rFonts w:ascii="Times New Roman CYR" w:eastAsia="Times New Roman" w:hAnsi="Times New Roman CYR" w:cs="Times New Roman CYR"/>
          <w:color w:val="004DBB"/>
          <w:lang w:val="en-US" w:eastAsia="en-US"/>
        </w:rPr>
        <w:sectPr w:rsidR="00000000">
          <w:pgSz w:w="12240" w:h="15840"/>
          <w:pgMar w:top="1134" w:right="1701" w:bottom="1134" w:left="819" w:header="720" w:footer="720" w:gutter="0"/>
          <w:cols w:space="720"/>
          <w:noEndnote/>
        </w:sectPr>
      </w:pPr>
    </w:p>
    <w:p w:rsidR="00000000" w:rsidRDefault="00E3230B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</w:p>
    <w:p w:rsidR="00000000" w:rsidRDefault="00E3230B">
      <w:pPr>
        <w:jc w:val="both"/>
        <w:rPr>
          <w:rFonts w:ascii="Times New Roman CYR" w:eastAsia="Times New Roman" w:hAnsi="Times New Roman CYR" w:cs="Times New Roman CYR"/>
          <w:color w:val="004DBB"/>
          <w:lang w:val="en-US" w:eastAsia="en-US"/>
        </w:rPr>
      </w:pPr>
    </w:p>
    <w:p w:rsidR="00000000" w:rsidRDefault="00E3230B">
      <w:pPr>
        <w:jc w:val="both"/>
        <w:rPr>
          <w:rFonts w:ascii="Times New Roman CYR" w:eastAsia="Times New Roman" w:hAnsi="Times New Roman CYR" w:cs="Times New Roman CYR"/>
          <w:color w:val="004DBB"/>
          <w:lang w:val="en-US" w:eastAsia="en-US"/>
        </w:rPr>
      </w:pPr>
    </w:p>
    <w:p w:rsidR="00000000" w:rsidRDefault="00E3230B">
      <w:pPr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 w:cs="Calibri"/>
          <w:b/>
          <w:color w:val="000000"/>
          <w:sz w:val="24"/>
        </w:rPr>
        <w:t>Инфо</w:t>
      </w:r>
      <w:r>
        <w:rPr>
          <w:rFonts w:ascii="Times New Roman" w:eastAsia="Times New Roman" w:hAnsi="Times New Roman" w:cs="Calibri"/>
          <w:b/>
          <w:color w:val="000000"/>
          <w:sz w:val="24"/>
        </w:rPr>
        <w:t>рмация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о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причинах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отклонений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показателей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представленных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форм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отчетности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по</w:t>
      </w:r>
      <w:r>
        <w:rPr>
          <w:rFonts w:ascii="Times New Roman" w:eastAsia="Times New Roman" w:hAnsi="Times New Roman" w:cs="Calibri"/>
          <w:b/>
          <w:color w:val="000000"/>
          <w:sz w:val="24"/>
        </w:rPr>
        <w:t> </w:t>
      </w:r>
      <w:r>
        <w:rPr>
          <w:rFonts w:ascii="Times New Roman" w:eastAsia="Times New Roman" w:hAnsi="Times New Roman" w:cs="Calibri"/>
          <w:b/>
          <w:color w:val="000000"/>
          <w:sz w:val="24"/>
        </w:rPr>
        <w:t>внутридокументным</w:t>
      </w:r>
      <w:r>
        <w:rPr>
          <w:rFonts w:ascii="Times New Roman" w:eastAsia="Times New Roman" w:hAnsi="Times New Roman" w:cs="Calibri"/>
          <w:b/>
          <w:color w:val="000000"/>
          <w:sz w:val="24"/>
        </w:rPr>
        <w:t> </w:t>
      </w:r>
      <w:r>
        <w:rPr>
          <w:rFonts w:ascii="Times New Roman" w:eastAsia="Times New Roman" w:hAnsi="Times New Roman" w:cs="Calibri"/>
          <w:b/>
          <w:color w:val="000000"/>
          <w:sz w:val="24"/>
        </w:rPr>
        <w:t>контрольным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соотношениям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, </w:t>
      </w:r>
      <w:r>
        <w:rPr>
          <w:rFonts w:ascii="Times New Roman" w:eastAsia="Times New Roman" w:hAnsi="Times New Roman" w:cs="Calibri"/>
          <w:b/>
          <w:color w:val="000000"/>
          <w:sz w:val="24"/>
        </w:rPr>
        <w:t>установленным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в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автоматизированной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информационной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системе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Департамента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финансов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города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Москвы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(</w:t>
      </w:r>
      <w:r>
        <w:rPr>
          <w:rFonts w:ascii="Times New Roman" w:eastAsia="Times New Roman" w:hAnsi="Times New Roman" w:cs="Calibri"/>
          <w:b/>
          <w:color w:val="000000"/>
          <w:sz w:val="24"/>
        </w:rPr>
        <w:t>в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части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допустимых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отклонений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, </w:t>
      </w:r>
      <w:r>
        <w:rPr>
          <w:rFonts w:ascii="Times New Roman" w:eastAsia="Times New Roman" w:hAnsi="Times New Roman" w:cs="Calibri"/>
          <w:b/>
          <w:color w:val="000000"/>
          <w:sz w:val="24"/>
        </w:rPr>
        <w:t>требующих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п</w:t>
      </w:r>
      <w:r>
        <w:rPr>
          <w:rFonts w:ascii="Times New Roman" w:eastAsia="Times New Roman" w:hAnsi="Times New Roman" w:cs="Calibri"/>
          <w:b/>
          <w:color w:val="000000"/>
          <w:sz w:val="24"/>
        </w:rPr>
        <w:t>ояснений</w:t>
      </w:r>
      <w:r>
        <w:rPr>
          <w:rFonts w:ascii="Times New Roman" w:eastAsia="Times New Roman" w:hAnsi="Times New Roman" w:cs="Calibri"/>
          <w:b/>
          <w:color w:val="000000"/>
          <w:sz w:val="24"/>
        </w:rPr>
        <w:t>)</w:t>
      </w:r>
    </w:p>
    <w:p w:rsidR="00000000" w:rsidRDefault="00E3230B">
      <w:pPr>
        <w:jc w:val="center"/>
        <w:rPr>
          <w:rFonts w:eastAsia="Times New Roman" w:cs="Calibri"/>
        </w:rPr>
      </w:pPr>
    </w:p>
    <w:tbl>
      <w:tblPr>
        <w:tblW w:w="15120" w:type="dxa"/>
        <w:tblInd w:w="-14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648"/>
        <w:gridCol w:w="776"/>
        <w:gridCol w:w="1031"/>
        <w:gridCol w:w="1414"/>
        <w:gridCol w:w="1414"/>
        <w:gridCol w:w="1670"/>
        <w:gridCol w:w="1542"/>
        <w:gridCol w:w="1542"/>
        <w:gridCol w:w="4288"/>
      </w:tblGrid>
      <w:tr w:rsidR="00000000">
        <w:trPr>
          <w:trHeight w:val="255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Номер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КС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Описание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КС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Комментарий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КС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Форма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Атрибут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Код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строки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операция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и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код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Значение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слева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Значение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справа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Отклонение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Пояснение</w:t>
            </w:r>
          </w:p>
        </w:tc>
      </w:tr>
      <w:tr w:rsidR="00000000">
        <w:trPr>
          <w:trHeight w:val="255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9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10</w:t>
            </w:r>
          </w:p>
        </w:tc>
      </w:tr>
      <w:tr w:rsidR="00000000">
        <w:trPr>
          <w:trHeight w:val="255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E3230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Calibri"/>
                <w:sz w:val="16"/>
                <w:lang w:val="en-US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E3230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E3230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E3230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E3230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E3230B">
            <w:pPr>
              <w:jc w:val="center"/>
              <w:rPr>
                <w:rFonts w:ascii="Times New Roman" w:eastAsia="Times New Roman" w:hAnsi="Times New Roman"/>
                <w:sz w:val="16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E3230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E3230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E3230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E3230B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Calibri"/>
                <w:sz w:val="16"/>
                <w:lang w:val="en-US" w:eastAsia="en-US"/>
              </w:rPr>
              <w:t xml:space="preserve"> </w:t>
            </w:r>
          </w:p>
        </w:tc>
      </w:tr>
    </w:tbl>
    <w:p w:rsidR="00000000" w:rsidRDefault="00E3230B">
      <w:pPr>
        <w:jc w:val="center"/>
        <w:rPr>
          <w:rFonts w:ascii="Times New Roman CYR" w:eastAsia="Times New Roman" w:hAnsi="Times New Roman CYR" w:cs="Calibri"/>
          <w:lang w:val="en-US" w:eastAsia="en-US"/>
        </w:rPr>
      </w:pPr>
    </w:p>
    <w:p w:rsidR="00000000" w:rsidRDefault="00E3230B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</w:p>
    <w:p w:rsidR="00000000" w:rsidRDefault="00E3230B">
      <w:pPr>
        <w:jc w:val="both"/>
        <w:rPr>
          <w:rFonts w:ascii="Times New Roman" w:eastAsia="Times New Roman" w:hAnsi="Times New Roman"/>
          <w:sz w:val="28"/>
          <w:lang w:val="en-US" w:eastAsia="en-US"/>
        </w:rPr>
      </w:pPr>
    </w:p>
    <w:p w:rsidR="00000000" w:rsidRDefault="00E3230B">
      <w:pPr>
        <w:jc w:val="both"/>
        <w:rPr>
          <w:rFonts w:ascii="Times New Roman" w:eastAsia="Times New Roman" w:hAnsi="Times New Roman" w:cs="Calibri"/>
          <w:sz w:val="28"/>
          <w:lang w:val="en-US" w:eastAsia="en-US"/>
        </w:rPr>
      </w:pPr>
    </w:p>
    <w:p w:rsidR="00000000" w:rsidRDefault="00E3230B">
      <w:pPr>
        <w:jc w:val="both"/>
        <w:rPr>
          <w:rFonts w:ascii="Times New Roman" w:eastAsia="Times New Roman" w:hAnsi="Times New Roman"/>
          <w:sz w:val="28"/>
          <w:lang w:val="en-US" w:eastAsia="en-US"/>
        </w:rPr>
      </w:pPr>
    </w:p>
    <w:p w:rsidR="00000000" w:rsidRDefault="00E3230B">
      <w:pPr>
        <w:jc w:val="both"/>
        <w:rPr>
          <w:rFonts w:ascii="Times New Roman CYR" w:eastAsia="Times New Roman" w:hAnsi="Times New Roman CYR" w:cs="Times New Roman CYR"/>
          <w:color w:val="004DBB"/>
          <w:lang w:val="en-US" w:eastAsia="en-US"/>
        </w:rPr>
      </w:pPr>
    </w:p>
    <w:p w:rsidR="00000000" w:rsidRDefault="00E3230B">
      <w:pPr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 w:cs="Calibri"/>
          <w:b/>
          <w:color w:val="000000"/>
          <w:sz w:val="24"/>
        </w:rPr>
        <w:t>Информация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о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причинах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отклонений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показателей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представленных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форм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отчетнос</w:t>
      </w:r>
      <w:r>
        <w:rPr>
          <w:rFonts w:ascii="Times New Roman" w:eastAsia="Times New Roman" w:hAnsi="Times New Roman" w:cs="Calibri"/>
          <w:b/>
          <w:color w:val="000000"/>
          <w:sz w:val="24"/>
        </w:rPr>
        <w:t>ти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по</w:t>
      </w:r>
      <w:r>
        <w:rPr>
          <w:rFonts w:ascii="Times New Roman" w:eastAsia="Times New Roman" w:hAnsi="Times New Roman" w:cs="Calibri"/>
          <w:b/>
          <w:color w:val="000000"/>
          <w:sz w:val="24"/>
        </w:rPr>
        <w:t> </w:t>
      </w:r>
      <w:r>
        <w:rPr>
          <w:rFonts w:ascii="Times New Roman" w:eastAsia="Times New Roman" w:hAnsi="Times New Roman" w:cs="Calibri"/>
          <w:b/>
          <w:color w:val="000000"/>
          <w:sz w:val="24"/>
        </w:rPr>
        <w:t>междокументным</w:t>
      </w:r>
      <w:r>
        <w:rPr>
          <w:rFonts w:ascii="Times New Roman" w:eastAsia="Times New Roman" w:hAnsi="Times New Roman" w:cs="Calibri"/>
          <w:b/>
          <w:color w:val="000000"/>
          <w:sz w:val="24"/>
        </w:rPr>
        <w:t> </w:t>
      </w:r>
      <w:r>
        <w:rPr>
          <w:rFonts w:ascii="Times New Roman" w:eastAsia="Times New Roman" w:hAnsi="Times New Roman" w:cs="Calibri"/>
          <w:b/>
          <w:color w:val="000000"/>
          <w:sz w:val="24"/>
        </w:rPr>
        <w:t>контрольным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соотношениям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, </w:t>
      </w:r>
      <w:r>
        <w:rPr>
          <w:rFonts w:ascii="Times New Roman" w:eastAsia="Times New Roman" w:hAnsi="Times New Roman" w:cs="Calibri"/>
          <w:b/>
          <w:color w:val="000000"/>
          <w:sz w:val="24"/>
        </w:rPr>
        <w:t>установленным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в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автоматизированной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информационной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системе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Департамента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финансов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города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Москвы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(</w:t>
      </w:r>
      <w:r>
        <w:rPr>
          <w:rFonts w:ascii="Times New Roman" w:eastAsia="Times New Roman" w:hAnsi="Times New Roman" w:cs="Calibri"/>
          <w:b/>
          <w:color w:val="000000"/>
          <w:sz w:val="24"/>
        </w:rPr>
        <w:t>в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части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допустимых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отклонений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, </w:t>
      </w:r>
      <w:r>
        <w:rPr>
          <w:rFonts w:ascii="Times New Roman" w:eastAsia="Times New Roman" w:hAnsi="Times New Roman" w:cs="Calibri"/>
          <w:b/>
          <w:color w:val="000000"/>
          <w:sz w:val="24"/>
        </w:rPr>
        <w:t>требующих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пояснений</w:t>
      </w:r>
      <w:r>
        <w:rPr>
          <w:rFonts w:ascii="Times New Roman" w:eastAsia="Times New Roman" w:hAnsi="Times New Roman" w:cs="Calibri"/>
          <w:b/>
          <w:color w:val="000000"/>
          <w:sz w:val="24"/>
        </w:rPr>
        <w:t>)</w:t>
      </w:r>
    </w:p>
    <w:p w:rsidR="00000000" w:rsidRDefault="00E3230B">
      <w:pPr>
        <w:jc w:val="center"/>
        <w:rPr>
          <w:rFonts w:ascii="Times New Roman" w:eastAsia="Times New Roman" w:hAnsi="Times New Roman" w:cs="Calibri"/>
          <w:b/>
          <w:color w:val="000000"/>
          <w:sz w:val="24"/>
        </w:rPr>
      </w:pPr>
    </w:p>
    <w:tbl>
      <w:tblPr>
        <w:tblW w:w="15120" w:type="dxa"/>
        <w:tblInd w:w="-14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797"/>
        <w:gridCol w:w="915"/>
        <w:gridCol w:w="675"/>
        <w:gridCol w:w="690"/>
        <w:gridCol w:w="2385"/>
        <w:gridCol w:w="720"/>
        <w:gridCol w:w="630"/>
        <w:gridCol w:w="690"/>
        <w:gridCol w:w="2565"/>
        <w:gridCol w:w="780"/>
        <w:gridCol w:w="765"/>
        <w:gridCol w:w="2976"/>
      </w:tblGrid>
      <w:tr w:rsidR="00000000">
        <w:trPr>
          <w:trHeight w:val="552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Номер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КС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Описание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КС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Комментарий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КС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Форма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слева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Атрибут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Код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строки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операция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и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код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Значение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Форма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справа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Атрибут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Код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строки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операция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и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код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)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Значение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Отклонение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Пояснение</w:t>
            </w:r>
          </w:p>
        </w:tc>
      </w:tr>
      <w:tr w:rsidR="00000000">
        <w:trPr>
          <w:trHeight w:val="252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4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8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9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11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12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E3230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13</w:t>
            </w:r>
          </w:p>
        </w:tc>
      </w:tr>
      <w:tr w:rsidR="00000000">
        <w:trPr>
          <w:trHeight w:val="552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E3230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Calibri"/>
                <w:sz w:val="16"/>
                <w:lang w:val="en-US" w:eastAsia="en-US"/>
              </w:rPr>
              <w:t>ФК-27.1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E3230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Calibri"/>
                <w:sz w:val="16"/>
                <w:lang w:val="en-US" w:eastAsia="en-US"/>
              </w:rPr>
              <w:t>0503128M_НП т1 гр7 Фильтр: ВР 612, 622 = 0503738M_НП т1 гр4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E3230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Calibri"/>
                <w:sz w:val="16"/>
                <w:lang w:val="en-US" w:eastAsia="en-US"/>
              </w:rPr>
              <w:t>При наличии ЛБО по субсидиям АУ/БУ по нацпроектам  отсутствуют показатели в 738-НП – требует пояснения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E3230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Calibri"/>
                <w:sz w:val="16"/>
                <w:lang w:val="en-US" w:eastAsia="en-US"/>
              </w:rPr>
              <w:t>0503128M_НП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E3230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Calibri"/>
                <w:sz w:val="16"/>
                <w:lang w:val="en-US" w:eastAsia="en-US"/>
              </w:rPr>
              <w:t>Тип=Сводный,ОКТМО=45000000,Наиме</w:t>
            </w:r>
            <w:r>
              <w:rPr>
                <w:rFonts w:ascii="Times New Roman" w:eastAsia="Times New Roman" w:hAnsi="Times New Roman" w:cs="Calibri"/>
                <w:sz w:val="16"/>
                <w:lang w:val="en-US" w:eastAsia="en-US"/>
              </w:rPr>
              <w:t>нование=город Москва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E3230B">
            <w:pPr>
              <w:jc w:val="center"/>
              <w:rPr>
                <w:rFonts w:ascii="Times New Roman" w:eastAsia="Times New Roman" w:hAnsi="Times New Roman"/>
                <w:sz w:val="10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sz w:val="10"/>
                <w:lang w:val="en-US" w:eastAsia="en-US"/>
              </w:rPr>
              <w:t>0001006000Я4Я0203111, 0001006000Я4Я0203119, 0001006000Я4Я0203244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E3230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Calibri"/>
                <w:sz w:val="16"/>
                <w:lang w:val="en-US" w:eastAsia="en-US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E3230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Calibri"/>
                <w:sz w:val="16"/>
                <w:lang w:val="en-US" w:eastAsia="en-US"/>
              </w:rPr>
              <w:t>0503738M_НП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E3230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Calibri"/>
                <w:sz w:val="16"/>
                <w:lang w:val="en-US" w:eastAsia="en-US"/>
              </w:rPr>
              <w:t>Тип=Сводный,Код ВФО=5,Наименование=субсидии на иные цели,ОКТМО=45000000,Наименование=город Москва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E3230B">
            <w:pPr>
              <w:jc w:val="center"/>
              <w:rPr>
                <w:rFonts w:ascii="Times New Roman" w:eastAsia="Times New Roman" w:hAnsi="Times New Roman"/>
                <w:sz w:val="10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sz w:val="10"/>
                <w:lang w:val="en-US" w:eastAsia="en-US"/>
              </w:rPr>
              <w:t>0001006000Я4Я0203111, 0001006000Я4Я0203119, 0001006000Я4Я0203244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E3230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Calibri"/>
                <w:sz w:val="16"/>
                <w:lang w:val="en-US" w:eastAsia="en-US"/>
              </w:rPr>
              <w:t>34 508 344,00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E3230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Calibri"/>
                <w:sz w:val="16"/>
                <w:lang w:val="en-US" w:eastAsia="en-US"/>
              </w:rPr>
              <w:t>-34 508 344,00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E3230B">
            <w:pPr>
              <w:jc w:val="both"/>
              <w:rPr>
                <w:rFonts w:ascii="Times New Roman" w:eastAsia="Times New Roman" w:hAnsi="Times New Roman" w:cs="Calibri"/>
                <w:sz w:val="16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sz w:val="16"/>
                <w:lang w:val="en-US" w:eastAsia="en-US"/>
              </w:rPr>
              <w:t>По кбк 148-1006-04БЯ4Я0203-623-0Я4 и 148-1006-04БЯ4Я0203-613-0Я4, грант в форме субсидии на проведение досуговых занятий для граждан, имеющих место жительства в М</w:t>
            </w:r>
            <w:r>
              <w:rPr>
                <w:rFonts w:ascii="Times New Roman" w:eastAsia="Times New Roman" w:hAnsi="Times New Roman" w:cs="Calibri"/>
                <w:sz w:val="16"/>
                <w:lang w:val="en-US" w:eastAsia="en-US"/>
              </w:rPr>
              <w:t>оскве, достигших возраста женщины 55 лет и мужчины 60 лет, в рамках реализации в городе Москве проекта «Московское долголетие».</w:t>
            </w:r>
          </w:p>
          <w:p w:rsidR="00000000" w:rsidRDefault="00E3230B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Calibri"/>
                <w:sz w:val="16"/>
                <w:lang w:val="en-US" w:eastAsia="en-US"/>
              </w:rPr>
              <w:t xml:space="preserve">Соглашение подписано с ДТСЗН города Москвы. </w:t>
            </w:r>
          </w:p>
        </w:tc>
      </w:tr>
    </w:tbl>
    <w:p w:rsidR="00000000" w:rsidRDefault="00E3230B">
      <w:pPr>
        <w:jc w:val="center"/>
        <w:rPr>
          <w:rFonts w:eastAsia="Times New Roman" w:cs="Calibri"/>
          <w:lang w:val="en-US" w:eastAsia="en-US"/>
        </w:rPr>
      </w:pPr>
    </w:p>
    <w:p w:rsidR="00000000" w:rsidRDefault="00E3230B">
      <w:pPr>
        <w:jc w:val="both"/>
        <w:rPr>
          <w:rFonts w:ascii="Times New Roman" w:eastAsia="Times New Roman" w:hAnsi="Times New Roman"/>
          <w:sz w:val="28"/>
          <w:lang w:val="en-US" w:eastAsia="en-US"/>
        </w:rPr>
      </w:pPr>
    </w:p>
    <w:p w:rsidR="00000000" w:rsidRDefault="00E3230B">
      <w:pPr>
        <w:jc w:val="both"/>
        <w:rPr>
          <w:rFonts w:ascii="Times New Roman CYR" w:eastAsia="Times New Roman" w:hAnsi="Times New Roman CYR" w:cs="Calibri"/>
          <w:color w:val="004DBB"/>
        </w:rPr>
      </w:pPr>
    </w:p>
    <w:p w:rsidR="00000000" w:rsidRDefault="00E3230B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</w:p>
    <w:p w:rsidR="00000000" w:rsidRDefault="00E3230B">
      <w:pPr>
        <w:jc w:val="both"/>
        <w:rPr>
          <w:rFonts w:ascii="Times New Roman" w:eastAsia="Times New Roman" w:hAnsi="Times New Roman"/>
          <w:sz w:val="28"/>
          <w:lang w:val="en-US" w:eastAsia="en-US"/>
        </w:rPr>
      </w:pPr>
    </w:p>
    <w:p w:rsidR="00000000" w:rsidRDefault="00E3230B">
      <w:pPr>
        <w:jc w:val="both"/>
        <w:rPr>
          <w:rFonts w:ascii="Times New Roman CYR" w:eastAsia="Times New Roman" w:hAnsi="Times New Roman CYR" w:cs="Times New Roman CYR"/>
          <w:color w:val="004DBB"/>
          <w:lang w:val="en-US" w:eastAsia="en-US"/>
        </w:rPr>
      </w:pPr>
    </w:p>
    <w:p w:rsidR="00000000" w:rsidRDefault="00E3230B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</w:p>
    <w:tbl>
      <w:tblPr>
        <w:tblW w:w="11532" w:type="dxa"/>
        <w:tblInd w:w="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4"/>
        <w:gridCol w:w="5446"/>
        <w:gridCol w:w="4302"/>
      </w:tblGrid>
      <w:tr w:rsidR="00000000"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E3230B">
            <w:pPr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Руководитель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E3230B">
            <w:pPr>
              <w:jc w:val="center"/>
              <w:rPr>
                <w:rFonts w:ascii="Verdana" w:eastAsia="Times New Roman" w:hAnsi="Verdana" w:cs="Calibri"/>
                <w:sz w:val="20"/>
                <w:lang w:val="en-US" w:eastAsia="en-US"/>
              </w:rPr>
            </w:pPr>
            <w:r>
              <w:rPr>
                <w:rFonts w:ascii="Verdana" w:eastAsia="Times New Roman" w:hAnsi="Verdana" w:cs="Verdana"/>
                <w:noProof/>
                <w:sz w:val="20"/>
                <w:lang w:val="en-US" w:eastAsia="en-US"/>
              </w:rPr>
              <w:drawing>
                <wp:inline distT="0" distB="0" distL="0" distR="0">
                  <wp:extent cx="2857500" cy="7905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Соболев Олег Вячеславович</w:t>
            </w:r>
          </w:p>
        </w:tc>
      </w:tr>
      <w:tr w:rsidR="00000000">
        <w:trPr>
          <w:trHeight w:val="280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000" w:rsidRDefault="00E3230B">
            <w:pPr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eastAsia="Times New Roman"/>
                <w:sz w:val="24"/>
              </w:rPr>
              <w:t> 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</w:rPr>
              <w:t>подпись</w:t>
            </w:r>
            <w:r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</w:rPr>
              <w:t>расшифровка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подписи</w:t>
            </w:r>
            <w:r>
              <w:rPr>
                <w:rFonts w:ascii="Times New Roman" w:eastAsia="Times New Roman" w:hAnsi="Times New Roman"/>
                <w:sz w:val="24"/>
              </w:rPr>
              <w:t>)</w:t>
            </w:r>
          </w:p>
        </w:tc>
      </w:tr>
      <w:tr w:rsidR="00000000">
        <w:trPr>
          <w:trHeight w:val="281"/>
        </w:trPr>
        <w:tc>
          <w:tcPr>
            <w:tcW w:w="115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000" w:rsidRDefault="00E3230B">
            <w:pPr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000000">
        <w:trPr>
          <w:trHeight w:val="281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E3230B">
            <w:pPr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Руководитель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планово</w:t>
            </w: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sz w:val="24"/>
                <w:lang w:val="en-US" w:eastAsia="en-US"/>
              </w:rPr>
            </w:pPr>
            <w:r>
              <w:rPr>
                <w:rFonts w:ascii="Verdana" w:eastAsia="Times New Roman" w:hAnsi="Verdana" w:cs="Verdana"/>
                <w:sz w:val="20"/>
                <w:lang w:val="en-US" w:eastAsia="en-US"/>
              </w:rPr>
              <w:t xml:space="preserve"> </w:t>
            </w:r>
            <w:r>
              <w:rPr>
                <w:rFonts w:ascii="Verdana" w:eastAsia="Times New Roman" w:hAnsi="Verdana" w:cs="Verdana"/>
                <w:noProof/>
                <w:sz w:val="20"/>
                <w:lang w:val="en-US" w:eastAsia="en-US"/>
              </w:rPr>
              <w:drawing>
                <wp:inline distT="0" distB="0" distL="0" distR="0">
                  <wp:extent cx="2686050" cy="7905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Красюк Кирилл Владиславович</w:t>
            </w:r>
          </w:p>
        </w:tc>
      </w:tr>
      <w:tr w:rsidR="00000000">
        <w:trPr>
          <w:trHeight w:val="281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E3230B">
            <w:pPr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экономической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службы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</w:rPr>
              <w:t>подпись</w:t>
            </w:r>
            <w:r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</w:rPr>
              <w:t>расшифровка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подписи</w:t>
            </w:r>
            <w:r>
              <w:rPr>
                <w:rFonts w:ascii="Times New Roman" w:eastAsia="Times New Roman" w:hAnsi="Times New Roman"/>
                <w:sz w:val="24"/>
              </w:rPr>
              <w:t>)</w:t>
            </w:r>
          </w:p>
        </w:tc>
      </w:tr>
      <w:tr w:rsidR="00000000">
        <w:trPr>
          <w:trHeight w:val="281"/>
        </w:trPr>
        <w:tc>
          <w:tcPr>
            <w:tcW w:w="115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000" w:rsidRDefault="00E3230B">
            <w:pPr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000000">
        <w:trPr>
          <w:trHeight w:val="281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E3230B">
            <w:pPr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Главный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sz w:val="24"/>
                <w:lang w:val="en-US" w:eastAsia="en-US"/>
              </w:rPr>
            </w:pPr>
            <w:r>
              <w:rPr>
                <w:rFonts w:ascii="Verdana" w:eastAsia="Times New Roman" w:hAnsi="Verdana" w:cs="Verdana"/>
                <w:noProof/>
                <w:sz w:val="20"/>
                <w:lang w:val="en-US" w:eastAsia="en-US"/>
              </w:rPr>
              <w:drawing>
                <wp:inline distT="0" distB="0" distL="0" distR="0">
                  <wp:extent cx="2619375" cy="7905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Каштанова Елена Николаевна</w:t>
            </w:r>
          </w:p>
        </w:tc>
      </w:tr>
      <w:tr w:rsidR="00000000">
        <w:trPr>
          <w:trHeight w:val="281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E3230B">
            <w:pPr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бухгалтер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</w:rPr>
              <w:t>подпись</w:t>
            </w:r>
            <w:r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E3230B">
            <w:pPr>
              <w:jc w:val="center"/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</w:rPr>
              <w:t>расшифровка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подписи</w:t>
            </w:r>
            <w:r>
              <w:rPr>
                <w:rFonts w:ascii="Times New Roman" w:eastAsia="Times New Roman" w:hAnsi="Times New Roman"/>
                <w:sz w:val="24"/>
              </w:rPr>
              <w:t>)</w:t>
            </w:r>
          </w:p>
        </w:tc>
      </w:tr>
    </w:tbl>
    <w:p w:rsidR="00000000" w:rsidRDefault="00E3230B">
      <w:pPr>
        <w:rPr>
          <w:rFonts w:eastAsia="Times New Roman"/>
        </w:rPr>
      </w:pPr>
    </w:p>
    <w:p w:rsidR="00000000" w:rsidRDefault="00E3230B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 w:cs="Calibri"/>
          <w:color w:val="2F343D"/>
          <w:sz w:val="24"/>
          <w:shd w:val="clear" w:color="auto" w:fill="FFFFFF"/>
        </w:rPr>
        <w:t>"17" июня 2026 г.</w:t>
      </w:r>
      <w:bookmarkStart w:id="1" w:name="_dx_frag_EndFragment"/>
      <w:bookmarkEnd w:id="1"/>
    </w:p>
    <w:p w:rsidR="00000000" w:rsidRDefault="00E3230B">
      <w:pPr>
        <w:jc w:val="both"/>
        <w:rPr>
          <w:rFonts w:ascii="Times New Roman CYR" w:eastAsia="Times New Roman" w:hAnsi="Times New Roman CYR" w:cs="Times New Roman CYR"/>
          <w:color w:val="004DBB"/>
          <w:lang w:val="en-US" w:eastAsia="en-US"/>
        </w:rPr>
      </w:pPr>
      <w:bookmarkStart w:id="2" w:name="_dx_frag_StartFragment"/>
      <w:bookmarkEnd w:id="2"/>
    </w:p>
    <w:p w:rsidR="00E3230B" w:rsidRDefault="00E3230B">
      <w:pPr>
        <w:jc w:val="both"/>
        <w:rPr>
          <w:rFonts w:ascii="Times New Roman" w:eastAsia="Times New Roman" w:hAnsi="Times New Roman" w:cs="Calibri"/>
          <w:sz w:val="28"/>
          <w:lang w:val="en-US" w:eastAsia="en-US"/>
        </w:rPr>
      </w:pPr>
    </w:p>
    <w:sectPr w:rsidR="00E3230B">
      <w:pgSz w:w="15840" w:h="12240" w:orient="landscape"/>
      <w:pgMar w:top="1134" w:right="819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0B"/>
    <w:rsid w:val="00800E0B"/>
    <w:rsid w:val="00E3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3D879D-11D5-4601-B62C-A63247D3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2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rPr>
      <w:rFonts w:ascii="Times New Roman" w:eastAsiaTheme="minorEastAsia" w:hAnsi="Times New Roman" w:cs="Times New Roman"/>
      <w:sz w:val="22"/>
    </w:rPr>
  </w:style>
  <w:style w:type="character" w:styleId="a4">
    <w:name w:val="Hyperlink"/>
    <w:basedOn w:val="a0"/>
    <w:uiPriority w:val="99"/>
    <w:rPr>
      <w:rFonts w:ascii="Times New Roman" w:eastAsiaTheme="minorEastAsia" w:hAnsi="Times New Roman"/>
      <w:color w:val="0000FF"/>
      <w:sz w:val="22"/>
      <w:u w:val="single"/>
    </w:rPr>
  </w:style>
  <w:style w:type="character" w:customStyle="1" w:styleId="style461">
    <w:name w:val="style461"/>
    <w:basedOn w:val="a0"/>
    <w:uiPriority w:val="99"/>
    <w:rPr>
      <w:rFonts w:ascii="Times New Roman" w:eastAsiaTheme="minorEastAsia" w:hAnsi="Times New Roman"/>
      <w:sz w:val="15"/>
    </w:rPr>
  </w:style>
  <w:style w:type="table" w:styleId="1">
    <w:name w:val="Table Simp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2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10505</Words>
  <Characters>59885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 Петр Александрович</dc:creator>
  <cp:keywords/>
  <dc:description/>
  <cp:lastModifiedBy>Цховребова Олеся Муратовна</cp:lastModifiedBy>
  <cp:revision>2</cp:revision>
  <dcterms:created xsi:type="dcterms:W3CDTF">2026-06-23T10:31:00Z</dcterms:created>
  <dcterms:modified xsi:type="dcterms:W3CDTF">2026-06-23T10:31:00Z</dcterms:modified>
</cp:coreProperties>
</file>